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inter" w:cs="inter" w:ascii="inter" w:hAnsi="inter"/>
          <w:color w:val="000000"/>
        </w:rPr>
        <w:drawing>
          <wp:inline distB="0" distL="0" distR="0" distT="0">
            <wp:extent cx="1143000" cy="287909"/>
            <wp:effectExtent b="0" l="0" r="0" t="0"/>
            <wp:docPr id="1" name="image-8503478859db815a099ce4bfac10f5d21d22e5c9.png"/>
            <a:graphic>
              <a:graphicData uri="http://schemas.openxmlformats.org/drawingml/2006/picture">
                <pic:pic>
                  <pic:nvPicPr>
                    <pic:cNvPr id="1" name="image-8503478859db815a099ce4bfac10f5d21d22e5c9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2879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r>
        <w:rPr>
          <w:rFonts w:eastAsia="inter" w:cs="inter" w:ascii="inter" w:hAnsi="inter"/>
          <w:b/>
          <w:color w:val="000000"/>
          <w:sz w:val="39"/>
        </w:rPr>
        <w:t xml:space="preserve">Trust Dynamics in Motorsports: A Game-Theoretic Approach to Simulating Competitive Trust Evolution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This white paper presents a comprehensive framework for modeling trust dynamics in competitive motorsports using game theory and reinforcement learning. By adapting Nicky Case's "The Evolution of Trust" concepts to racing scenarios</w:t>
      </w:r>
      <w:bookmarkStart w:id="0" w:name="fnref1"/>
      <w:bookmarkEnd w:id="0"/>
      <w:hyperlink w:anchor="fn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[1]</w:t>
        </w:r>
      </w:hyperlink>
      <w:bookmarkStart w:id="1" w:name="fnref2"/>
      <w:bookmarkEnd w:id="1"/>
      <w:hyperlink w:anchor="fn2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[2]</w:t>
        </w:r>
      </w:hyperlink>
      <w:r>
        <w:rPr>
          <w:rFonts w:eastAsia="inter" w:cs="inter" w:ascii="inter" w:hAnsi="inter"/>
          <w:color w:val="000000"/>
        </w:rPr>
        <w:t xml:space="preserve">, the project simulates how strategic interactions between drivers evolve under conditions of cooperation and competition. The system integrates real-world Formula 1 telemetry from the Ergast API</w:t>
      </w:r>
      <w:bookmarkStart w:id="2" w:name="fnref3"/>
      <w:bookmarkEnd w:id="2"/>
      <w:hyperlink w:anchor="fn3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[3]</w:t>
        </w:r>
      </w:hyperlink>
      <w:bookmarkStart w:id="3" w:name="fnref4"/>
      <w:bookmarkEnd w:id="3"/>
      <w:hyperlink w:anchor="fn4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[4]</w:t>
        </w:r>
      </w:hyperlink>
      <w:r>
        <w:rPr>
          <w:rFonts w:eastAsia="inter" w:cs="inter" w:ascii="inter" w:hAnsi="inter"/>
          <w:color w:val="000000"/>
        </w:rPr>
        <w:t xml:space="preserve">, dynamic trust metrics, and multi-agent reinforcement learning to quantify trust formation patterns in high-stakes racing environments.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Theoretical Framework: Foundations of Competitive Trust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Game-Theoretic Underpinnings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The model builds on the </w:t>
      </w:r>
      <w:r>
        <w:rPr>
          <w:rFonts w:eastAsia="inter" w:cs="inter" w:ascii="inter" w:hAnsi="inter"/>
          <w:b/>
          <w:color w:val="000000"/>
        </w:rPr>
        <w:t xml:space="preserve">Iterated Prisoner's Dilemma (IPD)</w:t>
      </w:r>
      <w:r>
        <w:rPr>
          <w:rFonts w:eastAsia="inter" w:cs="inter" w:ascii="inter" w:hAnsi="inter"/>
          <w:color w:val="000000"/>
        </w:rPr>
        <w:t xml:space="preserve"> framework</w:t>
      </w:r>
      <w:bookmarkStart w:id="4" w:name="fnref1:1"/>
      <w:bookmarkEnd w:id="4"/>
      <w:hyperlink w:anchor="fn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[1]</w:t>
        </w:r>
      </w:hyperlink>
      <w:bookmarkStart w:id="5" w:name="fnref2:1"/>
      <w:bookmarkEnd w:id="5"/>
      <w:hyperlink w:anchor="fn2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[2]</w:t>
        </w:r>
      </w:hyperlink>
      <w:r>
        <w:rPr>
          <w:rFonts w:eastAsia="inter" w:cs="inter" w:ascii="inter" w:hAnsi="inter"/>
          <w:color w:val="000000"/>
        </w:rPr>
        <w:t xml:space="preserve">, where drivers face repeated strategic decisions: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Cooperation</w:t>
      </w:r>
      <w:r>
        <w:rPr>
          <w:rFonts w:eastAsia="inter" w:cs="inter" w:ascii="inter" w:hAnsi="inter"/>
          <w:color w:val="000000"/>
          <w:sz w:val="21"/>
        </w:rPr>
        <w:t xml:space="preserve">: Maintaining racing line integrity during overtakes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Defection</w:t>
      </w:r>
      <w:r>
        <w:rPr>
          <w:rFonts w:eastAsia="inter" w:cs="inter" w:ascii="inter" w:hAnsi="inter"/>
          <w:color w:val="000000"/>
          <w:sz w:val="21"/>
        </w:rPr>
        <w:t xml:space="preserve">: Aggressive blocking or dangerous maneuvers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Conditional Strategies</w:t>
      </w:r>
      <w:r>
        <w:rPr>
          <w:rFonts w:eastAsia="inter" w:cs="inter" w:ascii="inter" w:hAnsi="inter"/>
          <w:color w:val="000000"/>
          <w:sz w:val="21"/>
        </w:rPr>
        <w:t xml:space="preserve">: Tit-for-Tat responses to opponent actions</w:t>
      </w:r>
      <w:bookmarkStart w:id="6" w:name="fnref5"/>
      <w:bookmarkEnd w:id="6"/>
      <w:hyperlink w:anchor="fn5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[5]</w:t>
        </w:r>
      </w:hyperlink>
      <w:bookmarkStart w:id="7" w:name="fnref6"/>
      <w:bookmarkEnd w:id="7"/>
      <w:hyperlink w:anchor="fn6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[6]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The </w:t>
      </w:r>
      <w:r>
        <w:rPr>
          <w:rFonts w:eastAsia="inter" w:cs="inter" w:ascii="inter" w:hAnsi="inter"/>
          <w:b/>
          <w:color w:val="000000"/>
        </w:rPr>
        <w:t xml:space="preserve">Nash Equilibrium</w:t>
      </w:r>
      <w:bookmarkStart w:id="8" w:name="fnref7"/>
      <w:bookmarkEnd w:id="8"/>
      <w:hyperlink w:anchor="fn7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[7]</w:t>
        </w:r>
      </w:hyperlink>
      <w:r>
        <w:rPr>
          <w:rFonts w:eastAsia="inter" w:cs="inter" w:ascii="inter" w:hAnsi="inter"/>
          <w:color w:val="000000"/>
        </w:rPr>
        <w:t xml:space="preserve"> analysis reveals stable strategic configurations where no driver benefits from unilateral strategy changes. For two drivers </w:t>
      </w:r>
      <w:r>
        <w:rPr>
          <w:rFonts w:eastAsia="inter" w:cs="inter" w:ascii="inter" w:hAnsi="inter"/>
          <w:i/>
          <w:color w:val="000000"/>
        </w:rPr>
        <w:t xml:space="preserve">A</w:t>
      </w:r>
      <w:r>
        <w:rPr>
          <w:rFonts w:eastAsia="inter" w:cs="inter" w:ascii="inter" w:hAnsi="inter"/>
          <w:color w:val="000000"/>
        </w:rPr>
        <w:t xml:space="preserve"> and </w:t>
      </w:r>
      <w:r>
        <w:rPr>
          <w:rFonts w:eastAsia="inter" w:cs="inter" w:ascii="inter" w:hAnsi="inter"/>
          <w:i/>
          <w:color w:val="000000"/>
        </w:rPr>
        <w:t xml:space="preserve">B</w:t>
      </w:r>
      <w:r>
        <w:rPr>
          <w:rFonts w:eastAsia="inter" w:cs="inter" w:ascii="inter" w:hAnsi="inter"/>
          <w:color w:val="000000"/>
        </w:rPr>
        <w:t xml:space="preserve">, the equilibrium condition satisfies:</w:t>
      </w:r>
    </w:p>
    <w:p>
      <w:pPr>
        <w:spacing w:line="360" w:after="210" w:lineRule="auto"/>
      </w:pPr>
      <m:oMathPara>
        <m:oMath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m:rPr>
                  <m:sty m:val="i"/>
                </m:rPr>
                <w:rPr>
                  <w:color w:val="000000"/>
                </w:rPr>
                <m:t>U</m:t>
              </m:r>
            </m:e>
            <m:sub>
              <m:r>
                <m:rPr>
                  <m:sty m:val="i"/>
                </m:rPr>
                <w:rPr>
                  <w:color w:val="000000"/>
                </w:rPr>
                <m:t>A</m:t>
              </m:r>
            </m:sub>
          </m:sSub>
          <m:r>
            <m:rPr>
              <m:sty m:val="p"/>
            </m:rPr>
            <w:rPr>
              <w:color w:val="000000"/>
            </w:rPr>
            <m:t>(</m:t>
          </m:r>
          <m:sSubSup>
            <m:sSubSupPr>
              <m:ctrlPr>
                <w:rPr>
                  <w:rFonts w:ascii="Cambria Math" w:hAnsi="Cambria Math"/>
                  <w:color w:val="000000"/>
                </w:rPr>
              </m:ctrlPr>
            </m:sSubSupPr>
            <m:e>
              <m:r>
                <m:rPr>
                  <m:sty m:val="i"/>
                </m:rPr>
                <w:rPr>
                  <w:color w:val="000000"/>
                </w:rPr>
                <m:t>s</m:t>
              </m:r>
            </m:e>
            <m:sub>
              <m:r>
                <m:rPr>
                  <m:sty m:val="i"/>
                </m:rPr>
                <w:rPr>
                  <w:color w:val="000000"/>
                </w:rPr>
                <m:t>A</m:t>
              </m:r>
            </m:sub>
            <m:sup>
              <m:r>
                <m:rPr>
                  <m:sty m:val="p"/>
                </m:rPr>
                <w:rPr>
                  <w:color w:val="000000"/>
                </w:rPr>
                <m:t>∗</m:t>
              </m:r>
            </m:sup>
          </m:sSubSup>
          <m:r>
            <m:rPr>
              <m:sty m:val="p"/>
            </m:rPr>
            <w:rPr>
              <w:color w:val="000000"/>
            </w:rPr>
            <m:t>,</m:t>
          </m:r>
          <m:sSubSup>
            <m:sSubSupPr>
              <m:ctrlPr>
                <w:rPr>
                  <w:rFonts w:ascii="Cambria Math" w:hAnsi="Cambria Math"/>
                  <w:color w:val="000000"/>
                </w:rPr>
              </m:ctrlPr>
            </m:sSubSupPr>
            <m:e>
              <m:r>
                <m:rPr>
                  <m:sty m:val="i"/>
                </m:rPr>
                <w:rPr>
                  <w:color w:val="000000"/>
                </w:rPr>
                <m:t>s</m:t>
              </m:r>
            </m:e>
            <m:sub>
              <m:r>
                <m:rPr>
                  <m:sty m:val="i"/>
                </m:rPr>
                <w:rPr>
                  <w:color w:val="000000"/>
                </w:rPr>
                <m:t>B</m:t>
              </m:r>
            </m:sub>
            <m:sup>
              <m:r>
                <m:rPr>
                  <m:sty m:val="p"/>
                </m:rPr>
                <w:rPr>
                  <w:color w:val="000000"/>
                </w:rPr>
                <m:t>∗</m:t>
              </m:r>
            </m:sup>
          </m:sSubSup>
          <m:r>
            <m:rPr>
              <m:sty m:val="p"/>
            </m:rPr>
            <w:rPr>
              <w:color w:val="000000"/>
            </w:rPr>
            <m:t>)</m:t>
          </m:r>
          <m:r>
            <m:rPr>
              <m:sty m:val="p"/>
            </m:rPr>
            <w:rPr>
              <w:color w:val="000000"/>
            </w:rPr>
            <m:t>≥</m:t>
          </m:r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m:rPr>
                  <m:sty m:val="i"/>
                </m:rPr>
                <w:rPr>
                  <w:color w:val="000000"/>
                </w:rPr>
                <m:t>U</m:t>
              </m:r>
            </m:e>
            <m:sub>
              <m:r>
                <m:rPr>
                  <m:sty m:val="i"/>
                </m:rPr>
                <w:rPr>
                  <w:color w:val="000000"/>
                </w:rPr>
                <m:t>A</m:t>
              </m:r>
            </m:sub>
          </m:sSub>
          <m:r>
            <m:rPr>
              <m:sty m:val="p"/>
            </m:rPr>
            <w:rPr>
              <w:color w:val="000000"/>
            </w:rPr>
            <m:t>(</m:t>
          </m:r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m:rPr>
                  <m:sty m:val="i"/>
                </m:rPr>
                <w:rPr>
                  <w:color w:val="000000"/>
                </w:rPr>
                <m:t>s</m:t>
              </m:r>
            </m:e>
            <m:sub>
              <m:r>
                <m:rPr>
                  <m:sty m:val="i"/>
                </m:rPr>
                <w:rPr>
                  <w:color w:val="000000"/>
                </w:rPr>
                <m:t>A</m:t>
              </m:r>
            </m:sub>
          </m:sSub>
          <m:r>
            <m:rPr>
              <m:sty m:val="p"/>
            </m:rPr>
            <w:rPr>
              <w:color w:val="000000"/>
            </w:rPr>
            <m:t>,</m:t>
          </m:r>
          <m:sSubSup>
            <m:sSubSupPr>
              <m:ctrlPr>
                <w:rPr>
                  <w:rFonts w:ascii="Cambria Math" w:hAnsi="Cambria Math"/>
                  <w:color w:val="000000"/>
                </w:rPr>
              </m:ctrlPr>
            </m:sSubSupPr>
            <m:e>
              <m:r>
                <m:rPr>
                  <m:sty m:val="i"/>
                </m:rPr>
                <w:rPr>
                  <w:color w:val="000000"/>
                </w:rPr>
                <m:t>s</m:t>
              </m:r>
            </m:e>
            <m:sub>
              <m:r>
                <m:rPr>
                  <m:sty m:val="i"/>
                </m:rPr>
                <w:rPr>
                  <w:color w:val="000000"/>
                </w:rPr>
                <m:t>B</m:t>
              </m:r>
            </m:sub>
            <m:sup>
              <m:r>
                <m:rPr>
                  <m:sty m:val="p"/>
                </m:rPr>
                <w:rPr>
                  <w:color w:val="000000"/>
                </w:rPr>
                <m:t>∗</m:t>
              </m:r>
            </m:sup>
          </m:sSubSup>
          <m:r>
            <m:rPr>
              <m:sty m:val="p"/>
            </m:rPr>
            <w:rPr>
              <w:color w:val="000000"/>
            </w:rPr>
            <m:t>)</m:t>
          </m:r>
          <m:r>
            <m:rPr>
              <m:sty m:val="p"/>
            </m:rPr>
            <w:rPr>
              <w:color w:val="000000"/>
            </w:rPr>
            <m:t xml:space="preserve"> </m:t>
          </m:r>
          <m:r>
            <m:rPr>
              <m:sty m:val="p"/>
            </m:rPr>
            <w:rPr>
              <w:color w:val="000000"/>
            </w:rPr>
            <m:t>∀</m:t>
          </m:r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m:rPr>
                  <m:sty m:val="i"/>
                </m:rPr>
                <w:rPr>
                  <w:color w:val="000000"/>
                </w:rPr>
                <m:t>s</m:t>
              </m:r>
            </m:e>
            <m:sub>
              <m:r>
                <m:rPr>
                  <m:sty m:val="i"/>
                </m:rPr>
                <w:rPr>
                  <w:color w:val="000000"/>
                </w:rPr>
                <m:t>A</m:t>
              </m:r>
            </m:sub>
          </m:sSub>
          <m:r>
            <m:rPr>
              <m:sty m:val="p"/>
            </m:rPr>
            <w:rPr>
              <w:color w:val="000000"/>
            </w:rPr>
            <m:t>≠</m:t>
          </m:r>
          <m:sSubSup>
            <m:sSubSupPr>
              <m:ctrlPr>
                <w:rPr>
                  <w:rFonts w:ascii="Cambria Math" w:hAnsi="Cambria Math"/>
                  <w:color w:val="000000"/>
                </w:rPr>
              </m:ctrlPr>
            </m:sSubSupPr>
            <m:e>
              <m:r>
                <m:rPr>
                  <m:sty m:val="i"/>
                </m:rPr>
                <w:rPr>
                  <w:color w:val="000000"/>
                </w:rPr>
                <m:t>s</m:t>
              </m:r>
            </m:e>
            <m:sub>
              <m:r>
                <m:rPr>
                  <m:sty m:val="i"/>
                </m:rPr>
                <w:rPr>
                  <w:color w:val="000000"/>
                </w:rPr>
                <m:t>A</m:t>
              </m:r>
            </m:sub>
            <m:sup>
              <m:r>
                <m:rPr>
                  <m:sty m:val="p"/>
                </m:rPr>
                <w:rPr>
                  <w:color w:val="000000"/>
                </w:rPr>
                <m:t>∗</m:t>
              </m:r>
            </m:sup>
          </m:sSubSup>
        </m:oMath>
      </m:oMathPara>
    </w:p>
    <w:p>
      <w:pPr>
        <w:spacing w:line="360" w:after="210" w:lineRule="auto"/>
      </w:pPr>
      <m:oMathPara>
        <m:oMath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m:rPr>
                  <m:sty m:val="i"/>
                </m:rPr>
                <w:rPr>
                  <w:color w:val="000000"/>
                </w:rPr>
                <m:t>U</m:t>
              </m:r>
            </m:e>
            <m:sub>
              <m:r>
                <m:rPr>
                  <m:sty m:val="i"/>
                </m:rPr>
                <w:rPr>
                  <w:color w:val="000000"/>
                </w:rPr>
                <m:t>B</m:t>
              </m:r>
            </m:sub>
          </m:sSub>
          <m:r>
            <m:rPr>
              <m:sty m:val="p"/>
            </m:rPr>
            <w:rPr>
              <w:color w:val="000000"/>
            </w:rPr>
            <m:t>(</m:t>
          </m:r>
          <m:sSubSup>
            <m:sSubSupPr>
              <m:ctrlPr>
                <w:rPr>
                  <w:rFonts w:ascii="Cambria Math" w:hAnsi="Cambria Math"/>
                  <w:color w:val="000000"/>
                </w:rPr>
              </m:ctrlPr>
            </m:sSubSupPr>
            <m:e>
              <m:r>
                <m:rPr>
                  <m:sty m:val="i"/>
                </m:rPr>
                <w:rPr>
                  <w:color w:val="000000"/>
                </w:rPr>
                <m:t>s</m:t>
              </m:r>
            </m:e>
            <m:sub>
              <m:r>
                <m:rPr>
                  <m:sty m:val="i"/>
                </m:rPr>
                <w:rPr>
                  <w:color w:val="000000"/>
                </w:rPr>
                <m:t>A</m:t>
              </m:r>
            </m:sub>
            <m:sup>
              <m:r>
                <m:rPr>
                  <m:sty m:val="p"/>
                </m:rPr>
                <w:rPr>
                  <w:color w:val="000000"/>
                </w:rPr>
                <m:t>∗</m:t>
              </m:r>
            </m:sup>
          </m:sSubSup>
          <m:r>
            <m:rPr>
              <m:sty m:val="p"/>
            </m:rPr>
            <w:rPr>
              <w:color w:val="000000"/>
            </w:rPr>
            <m:t>,</m:t>
          </m:r>
          <m:sSubSup>
            <m:sSubSupPr>
              <m:ctrlPr>
                <w:rPr>
                  <w:rFonts w:ascii="Cambria Math" w:hAnsi="Cambria Math"/>
                  <w:color w:val="000000"/>
                </w:rPr>
              </m:ctrlPr>
            </m:sSubSupPr>
            <m:e>
              <m:r>
                <m:rPr>
                  <m:sty m:val="i"/>
                </m:rPr>
                <w:rPr>
                  <w:color w:val="000000"/>
                </w:rPr>
                <m:t>s</m:t>
              </m:r>
            </m:e>
            <m:sub>
              <m:r>
                <m:rPr>
                  <m:sty m:val="i"/>
                </m:rPr>
                <w:rPr>
                  <w:color w:val="000000"/>
                </w:rPr>
                <m:t>B</m:t>
              </m:r>
            </m:sub>
            <m:sup>
              <m:r>
                <m:rPr>
                  <m:sty m:val="p"/>
                </m:rPr>
                <w:rPr>
                  <w:color w:val="000000"/>
                </w:rPr>
                <m:t>∗</m:t>
              </m:r>
            </m:sup>
          </m:sSubSup>
          <m:r>
            <m:rPr>
              <m:sty m:val="p"/>
            </m:rPr>
            <w:rPr>
              <w:color w:val="000000"/>
            </w:rPr>
            <m:t>)</m:t>
          </m:r>
          <m:r>
            <m:rPr>
              <m:sty m:val="p"/>
            </m:rPr>
            <w:rPr>
              <w:color w:val="000000"/>
            </w:rPr>
            <m:t>≥</m:t>
          </m:r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m:rPr>
                  <m:sty m:val="i"/>
                </m:rPr>
                <w:rPr>
                  <w:color w:val="000000"/>
                </w:rPr>
                <m:t>U</m:t>
              </m:r>
            </m:e>
            <m:sub>
              <m:r>
                <m:rPr>
                  <m:sty m:val="i"/>
                </m:rPr>
                <w:rPr>
                  <w:color w:val="000000"/>
                </w:rPr>
                <m:t>B</m:t>
              </m:r>
            </m:sub>
          </m:sSub>
          <m:r>
            <m:rPr>
              <m:sty m:val="p"/>
            </m:rPr>
            <w:rPr>
              <w:color w:val="000000"/>
            </w:rPr>
            <m:t>(</m:t>
          </m:r>
          <m:sSubSup>
            <m:sSubSupPr>
              <m:ctrlPr>
                <w:rPr>
                  <w:rFonts w:ascii="Cambria Math" w:hAnsi="Cambria Math"/>
                  <w:color w:val="000000"/>
                </w:rPr>
              </m:ctrlPr>
            </m:sSubSupPr>
            <m:e>
              <m:r>
                <m:rPr>
                  <m:sty m:val="i"/>
                </m:rPr>
                <w:rPr>
                  <w:color w:val="000000"/>
                </w:rPr>
                <m:t>s</m:t>
              </m:r>
            </m:e>
            <m:sub>
              <m:r>
                <m:rPr>
                  <m:sty m:val="i"/>
                </m:rPr>
                <w:rPr>
                  <w:color w:val="000000"/>
                </w:rPr>
                <m:t>A</m:t>
              </m:r>
            </m:sub>
            <m:sup>
              <m:r>
                <m:rPr>
                  <m:sty m:val="p"/>
                </m:rPr>
                <w:rPr>
                  <w:color w:val="000000"/>
                </w:rPr>
                <m:t>∗</m:t>
              </m:r>
            </m:sup>
          </m:sSubSup>
          <m:r>
            <m:rPr>
              <m:sty m:val="p"/>
            </m:rPr>
            <w:rPr>
              <w:color w:val="000000"/>
            </w:rPr>
            <m:t>,</m:t>
          </m:r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m:rPr>
                  <m:sty m:val="i"/>
                </m:rPr>
                <w:rPr>
                  <w:color w:val="000000"/>
                </w:rPr>
                <m:t>s</m:t>
              </m:r>
            </m:e>
            <m:sub>
              <m:r>
                <m:rPr>
                  <m:sty m:val="i"/>
                </m:rPr>
                <w:rPr>
                  <w:color w:val="000000"/>
                </w:rPr>
                <m:t>B</m:t>
              </m:r>
            </m:sub>
          </m:sSub>
          <m:r>
            <m:rPr>
              <m:sty m:val="p"/>
            </m:rPr>
            <w:rPr>
              <w:color w:val="000000"/>
            </w:rPr>
            <m:t>)</m:t>
          </m:r>
          <m:r>
            <m:rPr>
              <m:sty m:val="p"/>
            </m:rPr>
            <w:rPr>
              <w:color w:val="000000"/>
            </w:rPr>
            <m:t xml:space="preserve"> </m:t>
          </m:r>
          <m:r>
            <m:rPr>
              <m:sty m:val="p"/>
            </m:rPr>
            <w:rPr>
              <w:color w:val="000000"/>
            </w:rPr>
            <m:t>∀</m:t>
          </m:r>
          <m:sSub>
            <m:sSubPr>
              <m:ctrlPr>
                <w:rPr>
                  <w:rFonts w:ascii="Cambria Math" w:hAnsi="Cambria Math"/>
                  <w:color w:val="000000"/>
                </w:rPr>
              </m:ctrlPr>
            </m:sSubPr>
            <m:e>
              <m:r>
                <m:rPr>
                  <m:sty m:val="i"/>
                </m:rPr>
                <w:rPr>
                  <w:color w:val="000000"/>
                </w:rPr>
                <m:t>s</m:t>
              </m:r>
            </m:e>
            <m:sub>
              <m:r>
                <m:rPr>
                  <m:sty m:val="i"/>
                </m:rPr>
                <w:rPr>
                  <w:color w:val="000000"/>
                </w:rPr>
                <m:t>B</m:t>
              </m:r>
            </m:sub>
          </m:sSub>
          <m:r>
            <m:rPr>
              <m:sty m:val="p"/>
            </m:rPr>
            <w:rPr>
              <w:color w:val="000000"/>
            </w:rPr>
            <m:t>≠</m:t>
          </m:r>
          <m:sSubSup>
            <m:sSubSupPr>
              <m:ctrlPr>
                <w:rPr>
                  <w:rFonts w:ascii="Cambria Math" w:hAnsi="Cambria Math"/>
                  <w:color w:val="000000"/>
                </w:rPr>
              </m:ctrlPr>
            </m:sSubSupPr>
            <m:e>
              <m:r>
                <m:rPr>
                  <m:sty m:val="i"/>
                </m:rPr>
                <w:rPr>
                  <w:color w:val="000000"/>
                </w:rPr>
                <m:t>s</m:t>
              </m:r>
            </m:e>
            <m:sub>
              <m:r>
                <m:rPr>
                  <m:sty m:val="i"/>
                </m:rPr>
                <w:rPr>
                  <w:color w:val="000000"/>
                </w:rPr>
                <m:t>B</m:t>
              </m:r>
            </m:sub>
            <m:sup>
              <m:r>
                <m:rPr>
                  <m:sty m:val="p"/>
                </m:rPr>
                <w:rPr>
                  <w:color w:val="000000"/>
                </w:rPr>
                <m:t>∗</m:t>
              </m:r>
            </m:sup>
          </m:sSubSup>
        </m:oMath>
      </m:oMathPara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Where $ U $ represents utility functions incorporating lap time, championship points, and mechanical wear</w:t>
      </w:r>
      <w:bookmarkStart w:id="9" w:name="fnref8"/>
      <w:bookmarkEnd w:id="9"/>
      <w:hyperlink w:anchor="fn8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[8]</w:t>
        </w:r>
      </w:hyperlink>
      <w:r>
        <w:rPr>
          <w:rFonts w:eastAsia="inter" w:cs="inter" w:ascii="inter" w:hAnsi="inter"/>
          <w:color w:val="000000"/>
        </w:rPr>
        <w:t xml:space="preserve">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Methodology: From Theory to Track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Input Data Architecture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The simulation integrates three primary data streams:</w:t>
      </w:r>
    </w:p>
    <w:p>
      <w:pPr>
        <w:numPr>
          <w:ilvl w:val="0"/>
          <w:numId w:val="2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Historical Race Data</w:t>
      </w:r>
      <w:r>
        <w:rPr>
          <w:rFonts w:eastAsia="inter" w:cs="inter" w:ascii="inter" w:hAnsi="inter"/>
          <w:color w:val="000000"/>
          <w:sz w:val="21"/>
        </w:rPr>
        <w:t xml:space="preserve"> (Ergast API</w:t>
      </w:r>
      <w:bookmarkStart w:id="10" w:name="fnref3:1"/>
      <w:bookmarkEnd w:id="10"/>
      <w:hyperlink w:anchor="fn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[3]</w:t>
        </w:r>
      </w:hyperlink>
      <w:r>
        <w:rPr>
          <w:rFonts w:eastAsia="inter" w:cs="inter" w:ascii="inter" w:hAnsi="inter"/>
          <w:color w:val="000000"/>
          <w:sz w:val="21"/>
        </w:rPr>
        <w:t xml:space="preserve">):</w:t>
      </w:r>
    </w:p>
    <w:p>
      <w:pPr>
        <w:numPr>
          <w:ilvl w:val="1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70+ years of Formula 1 race results</w:t>
      </w:r>
    </w:p>
    <w:p>
      <w:pPr>
        <w:numPr>
          <w:ilvl w:val="1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1,200+ driver profiles with performance metrics</w:t>
      </w:r>
    </w:p>
    <w:p>
      <w:pPr>
        <w:numPr>
          <w:ilvl w:val="1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Circuit-specific telemetry for 80+ international tracks</w:t>
      </w:r>
    </w:p>
    <w:p>
      <w:pPr>
        <w:numPr>
          <w:ilvl w:val="0"/>
          <w:numId w:val="2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Real-Time Telemetry</w:t>
      </w:r>
      <w:r>
        <w:rPr>
          <w:rFonts w:eastAsia="inter" w:cs="inter" w:ascii="inter" w:hAnsi="inter"/>
          <w:color w:val="000000"/>
          <w:sz w:val="21"/>
        </w:rPr>
        <w:t xml:space="preserve"> (300+ sensors</w:t>
      </w:r>
      <w:bookmarkStart w:id="11" w:name="fnref9"/>
      <w:bookmarkEnd w:id="11"/>
      <w:hyperlink w:anchor="fn9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[9]</w:t>
        </w:r>
      </w:hyperlink>
      <w:r>
        <w:rPr>
          <w:rFonts w:eastAsia="inter" w:cs="inter" w:ascii="inter" w:hAnsi="inter"/>
          <w:color w:val="000000"/>
          <w:sz w:val="21"/>
        </w:rPr>
        <w:t xml:space="preserve">):</w:t>
      </w:r>
    </w:p>
    <w:p>
      <w:pPr>
        <w:numPr>
          <w:ilvl w:val="1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Braking force: $ F_b = \mu \cdot N $ (μ = friction coefficient)</w:t>
      </w:r>
    </w:p>
    <w:p>
      <w:pPr>
        <w:numPr>
          <w:ilvl w:val="1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Aerodynamic drag: $ D = \frac{1}{2} \rho v^2 C_D A $</w:t>
      </w:r>
    </w:p>
    <w:p>
      <w:pPr>
        <w:numPr>
          <w:ilvl w:val="1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Energy recovery rates: $ E_{regen} = \int_{t_1}^{t_2} P_{MGU-K}(t) dt $</w:t>
      </w:r>
    </w:p>
    <w:p>
      <w:pPr>
        <w:numPr>
          <w:ilvl w:val="0"/>
          <w:numId w:val="2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Strategic Parameters</w:t>
      </w:r>
      <w:r>
        <w:rPr>
          <w:rFonts w:eastAsia="inter" w:cs="inter" w:ascii="inter" w:hAnsi="inter"/>
          <w:color w:val="000000"/>
          <w:sz w:val="21"/>
        </w:rPr>
        <w:t xml:space="preserve">:</w:t>
      </w:r>
    </w:p>
    <w:p>
      <w:pPr>
        <w:numPr>
          <w:ilvl w:val="1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Overtaking probability matrices</w:t>
      </w:r>
    </w:p>
    <w:p>
      <w:pPr>
        <w:numPr>
          <w:ilvl w:val="1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Pit stop decision trees</w:t>
      </w:r>
    </w:p>
    <w:p>
      <w:pPr>
        <w:numPr>
          <w:ilvl w:val="1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Tire degradation models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Implementation: Modeling Trust Evolution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Agent Strategy Spectrum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The simulation implements six core driver archetypes: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2378"/>
        <w:gridCol w:w="2378"/>
        <w:gridCol w:w="2378"/>
        <w:gridCol w:w="237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Strategy Type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Cooperation Rate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Defection Trigger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Recovery Probability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Always Cooperate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100%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Never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N/A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Grim Trigger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100%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Permanent defection after first betrayal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0%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Tit-for-Tat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Mirror opponent's last move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Immediate retaliation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50%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Generous Tit-for-Tat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70% cooperation baseline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Forgive 30% defects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80%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Pavlov (Win-Stay)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Adjust based on payoff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Switch if reward &lt; threshold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Variable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Deep Q-Network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RL-optimized policy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Context-aware responses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Dynamic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Quantified Objectives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The system tracks five core metrics across 10,000 simulated races:</w:t>
      </w:r>
    </w:p>
    <w:p>
      <w:pPr>
        <w:numPr>
          <w:ilvl w:val="0"/>
          <w:numId w:val="3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Trust Index</w:t>
      </w:r>
      <w:r>
        <w:rPr>
          <w:rFonts w:eastAsia="inter" w:cs="inter" w:ascii="inter" w:hAnsi="inter"/>
          <w:color w:val="000000"/>
          <w:sz w:val="21"/>
        </w:rPr>
        <w:t xml:space="preserve"> $ T_i $:</w:t>
      </w:r>
    </w:p>
    <w:p>
      <w:pPr>
        <w:spacing w:line="360" w:after="210" w:lineRule="auto"/>
        <w:ind w:left="540"/>
      </w:pPr>
      <m:oMathPara>
        <m:oMath>
          <m:sSub>
            <m:sSubPr>
              <m:ctrlPr>
                <w:rPr>
                  <w:rFonts w:ascii="Cambria Math" w:hAnsi="Cambria Math"/>
                  <w:color w:val="000000"/>
                  <w:sz w:val="21"/>
                </w:rPr>
              </m:ctrlPr>
            </m:sSubPr>
            <m:e>
              <m:r>
                <m:rPr>
                  <m:sty m:val="i"/>
                </m:rPr>
                <w:rPr>
                  <w:color w:val="000000"/>
                  <w:sz w:val="21"/>
                </w:rPr>
                <m:t>T</m:t>
              </m:r>
            </m:e>
            <m:sub>
              <m:r>
                <m:rPr>
                  <m:sty m:val="i"/>
                </m:rPr>
                <w:rPr>
                  <w:color w:val="000000"/>
                  <w:sz w:val="21"/>
                </w:rPr>
                <m:t>i</m:t>
              </m:r>
            </m:sub>
          </m:sSub>
          <m:r>
            <m:rPr>
              <m:sty m:val="p"/>
            </m:rPr>
            <w:rPr>
              <w:color w:val="000000"/>
              <w:sz w:val="21"/>
            </w:rPr>
            <m:t>=</m:t>
          </m:r>
          <m:f>
            <m:fPr>
              <m:ctrlPr>
                <w:rPr>
                  <w:rFonts w:ascii="Cambria Math" w:hAnsi="Cambria Math"/>
                  <w:color w:val="000000"/>
                  <w:sz w:val="21"/>
                </w:rPr>
              </m:ctrlPr>
            </m:fPr>
            <m:num>
              <m:nary>
                <m:naryPr>
                  <m:chr m:val="∑"/>
                  <m:limLoc m:val="undOvr"/>
                  <m:grow m:val="1"/>
                </m:naryPr>
                <m:sub>
                  <m:r>
                    <m:rPr>
                      <m:sty m:val="i"/>
                    </m:rPr>
                    <w:rPr>
                      <w:color w:val="000000"/>
                      <w:sz w:val="21"/>
                    </w:rPr>
                    <m:t>t</m:t>
                  </m:r>
                  <m:r>
                    <m:rPr>
                      <m:sty m:val="p"/>
                    </m:rPr>
                    <w:rPr>
                      <w:color w:val="000000"/>
                      <w:sz w:val="21"/>
                    </w:rPr>
                    <m:t>=</m:t>
                  </m:r>
                  <m:r>
                    <m:rPr>
                      <m:sty m:val="p"/>
                    </m:rPr>
                    <w:rPr>
                      <w:color w:val="000000"/>
                      <w:sz w:val="21"/>
                    </w:rPr>
                    <m:t>1</m:t>
                  </m:r>
                </m:sub>
                <m:sup>
                  <m:r>
                    <m:rPr>
                      <m:sty m:val="i"/>
                    </m:rPr>
                    <w:rPr>
                      <w:color w:val="000000"/>
                      <w:sz w:val="21"/>
                    </w:rPr>
                    <m:t>n</m:t>
                  </m:r>
                </m:sup>
                <m:e>
                  <m:r>
                    <m:rPr>
                      <m:sty m:val="p"/>
                    </m:rPr>
                    <w:rPr>
                      <w:color w:val="000000"/>
                      <w:sz w:val="21"/>
                    </w:rPr>
                    <m:t xml:space="preserve"> </m:t>
                  </m:r>
                </m:e>
              </m:nary>
              <m:r>
                <m:rPr>
                  <m:sty m:val="p"/>
                </m:rPr>
                <w:rPr>
                  <w:color w:val="000000"/>
                  <w:sz w:val="21"/>
                </w:rPr>
                <m:t xml:space="preserve"> </m:t>
              </m:r>
              <m:sSub>
                <m:sSubPr>
                  <m:ctrlPr>
                    <w:rPr>
                      <w:rFonts w:ascii="Cambria Math" w:hAnsi="Cambria Math"/>
                      <w:color w:val="000000"/>
                      <w:sz w:val="21"/>
                    </w:rPr>
                  </m:ctrlPr>
                </m:sSubPr>
                <m:e>
                  <m:r>
                    <m:rPr>
                      <m:sty m:val="i"/>
                    </m:rPr>
                    <w:rPr>
                      <w:color w:val="000000"/>
                      <w:sz w:val="21"/>
                    </w:rPr>
                    <m:t>C</m:t>
                  </m:r>
                </m:e>
                <m:sub>
                  <m:r>
                    <m:rPr>
                      <m:sty m:val="i"/>
                    </m:rPr>
                    <w:rPr>
                      <w:color w:val="000000"/>
                      <w:sz w:val="21"/>
                    </w:rPr>
                    <m:t>i</m:t>
                  </m:r>
                  <m:r>
                    <m:rPr>
                      <m:sty m:val="i"/>
                    </m:rPr>
                    <w:rPr>
                      <w:color w:val="000000"/>
                      <w:sz w:val="21"/>
                    </w:rPr>
                    <m:t>j</m:t>
                  </m:r>
                </m:sub>
              </m:sSub>
              <m:r>
                <m:rPr>
                  <m:sty m:val="p"/>
                </m:rPr>
                <w:rPr>
                  <w:color w:val="000000"/>
                  <w:sz w:val="21"/>
                </w:rPr>
                <m:t>(</m:t>
              </m:r>
              <m:r>
                <m:rPr>
                  <m:sty m:val="i"/>
                </m:rPr>
                <w:rPr>
                  <w:color w:val="000000"/>
                  <w:sz w:val="21"/>
                </w:rPr>
                <m:t>t</m:t>
              </m:r>
              <m:r>
                <m:rPr>
                  <m:sty m:val="p"/>
                </m:rPr>
                <w:rPr>
                  <w:color w:val="000000"/>
                  <w:sz w:val="21"/>
                </w:rPr>
                <m:t>)</m:t>
              </m:r>
            </m:num>
            <m:den>
              <m:r>
                <m:rPr>
                  <m:sty m:val="i"/>
                </m:rPr>
                <w:rPr>
                  <w:color w:val="000000"/>
                  <w:sz w:val="21"/>
                </w:rPr>
                <m:t>n</m:t>
              </m:r>
            </m:den>
          </m:f>
          <m:r>
            <m:rPr>
              <m:sty m:val="p"/>
            </m:rPr>
            <w:rPr>
              <w:color w:val="000000"/>
              <w:sz w:val="21"/>
            </w:rPr>
            <m:t>⋅</m:t>
          </m:r>
          <m:d>
            <m:dPr>
              <m:begChr m:val="("/>
              <m:endChr m:val=")"/>
              <m:ctrlPr>
                <w:rPr>
                  <w:rFonts w:ascii="Cambria Math" w:hAnsi="Cambria Math"/>
                  <w:color w:val="000000"/>
                  <w:sz w:val="21"/>
                </w:rPr>
              </m:ctrlPr>
            </m:dPr>
            <m:e>
              <m:r>
                <m:rPr>
                  <m:sty m:val="p"/>
                </m:rPr>
                <w:rPr>
                  <w:color w:val="000000"/>
                  <w:sz w:val="21"/>
                </w:rPr>
                <m:t>1</m:t>
              </m:r>
              <m:r>
                <m:rPr>
                  <m:sty m:val="p"/>
                </m:rPr>
                <w:rPr>
                  <w:color w:val="000000"/>
                  <w:sz w:val="21"/>
                </w:rPr>
                <m:t>−</m:t>
              </m:r>
              <m:f>
                <m:fPr>
                  <m:ctrlPr>
                    <w:rPr>
                      <w:rFonts w:ascii="Cambria Math" w:hAnsi="Cambria Math"/>
                      <w:color w:val="000000"/>
                      <w:sz w:val="21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color w:val="000000"/>
                          <w:sz w:val="21"/>
                        </w:rPr>
                      </m:ctrlPr>
                    </m:sSubPr>
                    <m:e>
                      <m:r>
                        <m:rPr>
                          <m:sty m:val="i"/>
                        </m:rPr>
                        <w:rPr>
                          <w:color w:val="000000"/>
                          <w:sz w:val="21"/>
                        </w:rPr>
                        <m:t>σ</m:t>
                      </m:r>
                    </m:e>
                    <m:sub>
                      <m:r>
                        <m:rPr>
                          <m:sty m:val="i"/>
                        </m:rPr>
                        <w:rPr>
                          <w:color w:val="000000"/>
                          <w:sz w:val="21"/>
                        </w:rPr>
                        <m:t>v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color w:val="000000"/>
                          <w:sz w:val="21"/>
                        </w:rPr>
                      </m:ctrlPr>
                    </m:sSubPr>
                    <m:e>
                      <m:r>
                        <m:rPr>
                          <m:sty m:val="i"/>
                        </m:rPr>
                        <w:rPr>
                          <w:color w:val="000000"/>
                          <w:sz w:val="21"/>
                        </w:rPr>
                        <m:t>v</m:t>
                      </m:r>
                    </m:e>
                    <m:sub>
                      <m:r>
                        <m:rPr>
                          <m:sty m:val="i"/>
                        </m:rPr>
                        <w:rPr>
                          <w:color w:val="000000"/>
                          <w:sz w:val="21"/>
                        </w:rPr>
                        <m:t>a</m:t>
                      </m:r>
                      <m:r>
                        <m:rPr>
                          <m:sty m:val="i"/>
                        </m:rPr>
                        <w:rPr>
                          <w:color w:val="000000"/>
                          <w:sz w:val="21"/>
                        </w:rPr>
                        <m:t>v</m:t>
                      </m:r>
                      <m:r>
                        <m:rPr>
                          <m:sty m:val="i"/>
                        </m:rPr>
                        <w:rPr>
                          <w:color w:val="000000"/>
                          <w:sz w:val="21"/>
                        </w:rPr>
                        <m:t>g</m:t>
                      </m:r>
                    </m:sub>
                  </m:sSub>
                </m:den>
              </m:f>
            </m:e>
          </m:d>
        </m:oMath>
      </m:oMathPara>
    </w:p>
    <w:p>
      <w:pPr>
        <w:spacing w:line="360" w:after="210" w:lineRule="auto"/>
        <w:ind w:left="540"/>
      </w:pPr>
      <w:r>
        <w:rPr>
          <w:rFonts w:eastAsia="inter" w:cs="inter" w:ascii="inter" w:hAnsi="inter"/>
          <w:color w:val="000000"/>
          <w:sz w:val="21"/>
        </w:rPr>
        <w:t xml:space="preserve">Where $ C_{ij} $ = cooperative acts between drivers </w:t>
      </w:r>
      <w:r>
        <w:rPr>
          <w:rFonts w:eastAsia="inter" w:cs="inter" w:ascii="inter" w:hAnsi="inter"/>
          <w:i/>
          <w:color w:val="000000"/>
          <w:sz w:val="21"/>
        </w:rPr>
        <w:t xml:space="preserve">i</w:t>
      </w:r>
      <w:r>
        <w:rPr>
          <w:rFonts w:eastAsia="inter" w:cs="inter" w:ascii="inter" w:hAnsi="inter"/>
          <w:color w:val="000000"/>
          <w:sz w:val="21"/>
        </w:rPr>
        <w:t xml:space="preserve"> and </w:t>
      </w:r>
      <w:r>
        <w:rPr>
          <w:rFonts w:eastAsia="inter" w:cs="inter" w:ascii="inter" w:hAnsi="inter"/>
          <w:i/>
          <w:color w:val="000000"/>
          <w:sz w:val="21"/>
        </w:rPr>
        <w:t xml:space="preserve">j</w:t>
      </w:r>
      <w:r>
        <w:rPr>
          <w:rFonts w:eastAsia="inter" w:cs="inter" w:ascii="inter" w:hAnsi="inter"/>
          <w:color w:val="000000"/>
          <w:sz w:val="21"/>
        </w:rPr>
        <w:t xml:space="preserve">, $ \sigma_v $ = speed variance</w:t>
      </w:r>
    </w:p>
    <w:p>
      <w:pPr>
        <w:numPr>
          <w:ilvl w:val="0"/>
          <w:numId w:val="3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Strategic Stability</w:t>
      </w:r>
      <w:r>
        <w:rPr>
          <w:rFonts w:eastAsia="inter" w:cs="inter" w:ascii="inter" w:hAnsi="inter"/>
          <w:color w:val="000000"/>
          <w:sz w:val="21"/>
        </w:rPr>
        <w:t xml:space="preserve"> $ S $:</w:t>
      </w:r>
    </w:p>
    <w:p>
      <w:pPr>
        <w:spacing w:line="360" w:after="210" w:lineRule="auto"/>
        <w:ind w:left="540"/>
      </w:pPr>
      <m:oMathPara>
        <m:oMath>
          <m:r>
            <m:rPr>
              <m:sty m:val="i"/>
            </m:rPr>
            <w:rPr>
              <w:color w:val="000000"/>
              <w:sz w:val="21"/>
            </w:rPr>
            <m:t>S</m:t>
          </m:r>
          <m:r>
            <m:rPr>
              <m:sty m:val="p"/>
            </m:rPr>
            <w:rPr>
              <w:color w:val="000000"/>
              <w:sz w:val="21"/>
            </w:rPr>
            <m:t>=</m:t>
          </m:r>
          <m:f>
            <m:fPr>
              <m:ctrlPr>
                <w:rPr>
                  <w:rFonts w:ascii="Cambria Math" w:hAnsi="Cambria Math"/>
                  <w:color w:val="000000"/>
                  <w:sz w:val="21"/>
                </w:rPr>
              </m:ctrlPr>
            </m:fPr>
            <m:num>
              <m:r>
                <m:rPr>
                  <m:nor/>
                </m:rPr>
                <w:rPr>
                  <w:color w:val="000000"/>
                  <w:sz w:val="21"/>
                </w:rPr>
                <m:t>Nash Equilibrium compliance rate</m:t>
              </m:r>
            </m:num>
            <m:den>
              <m:r>
                <m:rPr>
                  <m:nor/>
                </m:rPr>
                <w:rPr>
                  <w:color w:val="000000"/>
                  <w:sz w:val="21"/>
                </w:rPr>
                <m:t>Total interactions</m:t>
              </m:r>
            </m:den>
          </m:f>
          <m:r>
            <m:rPr>
              <m:sty m:val="p"/>
            </m:rPr>
            <w:rPr>
              <w:color w:val="000000"/>
              <w:sz w:val="21"/>
            </w:rPr>
            <m:t>×</m:t>
          </m:r>
          <m:r>
            <m:rPr>
              <m:sty m:val="p"/>
            </m:rPr>
            <w:rPr>
              <w:color w:val="000000"/>
              <w:sz w:val="21"/>
            </w:rPr>
            <m:t>100</m:t>
          </m:r>
          <m:r>
            <m:rPr>
              <m:sty m:val="p"/>
            </m:rPr>
            <w:rPr>
              <w:color w:val="000000"/>
              <w:sz w:val="21"/>
            </w:rPr>
            <m:t>%</m:t>
          </m:r>
        </m:oMath>
      </m:oMathPara>
    </w:p>
    <w:p>
      <w:pPr>
        <w:numPr>
          <w:ilvl w:val="0"/>
          <w:numId w:val="3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Efficiency Ratio</w:t>
      </w:r>
      <w:r>
        <w:rPr>
          <w:rFonts w:eastAsia="inter" w:cs="inter" w:ascii="inter" w:hAnsi="inter"/>
          <w:color w:val="000000"/>
          <w:sz w:val="21"/>
        </w:rPr>
        <w:t xml:space="preserve"> $ \eta $:</w:t>
      </w:r>
    </w:p>
    <w:p>
      <w:pPr>
        <w:spacing w:line="360" w:after="210" w:lineRule="auto"/>
        <w:ind w:left="540"/>
      </w:pPr>
      <m:oMathPara>
        <m:oMath>
          <m:r>
            <m:rPr>
              <m:sty m:val="i"/>
            </m:rPr>
            <w:rPr>
              <w:color w:val="000000"/>
              <w:sz w:val="21"/>
            </w:rPr>
            <m:t>η</m:t>
          </m:r>
          <m:r>
            <m:rPr>
              <m:sty m:val="p"/>
            </m:rPr>
            <w:rPr>
              <w:color w:val="000000"/>
              <w:sz w:val="21"/>
            </w:rPr>
            <m:t>=</m:t>
          </m:r>
          <m:f>
            <m:fPr>
              <m:ctrlPr>
                <w:rPr>
                  <w:rFonts w:ascii="Cambria Math" w:hAnsi="Cambria Math"/>
                  <w:color w:val="000000"/>
                  <w:sz w:val="21"/>
                </w:rPr>
              </m:ctrlPr>
            </m:fPr>
            <m:num>
              <m:r>
                <m:rPr>
                  <m:nor/>
                </m:rPr>
                <w:rPr>
                  <w:color w:val="000000"/>
                  <w:sz w:val="21"/>
                </w:rPr>
                <m:t>Lap time improvement</m:t>
              </m:r>
            </m:num>
            <m:den>
              <m:r>
                <m:rPr>
                  <m:nor/>
                </m:rPr>
                <w:rPr>
                  <w:color w:val="000000"/>
                  <w:sz w:val="21"/>
                </w:rPr>
                <m:t>Energy expenditure</m:t>
              </m:r>
            </m:den>
          </m:f>
          <m:r>
            <m:rPr>
              <m:sty m:val="p"/>
            </m:rPr>
            <w:rPr>
              <w:color w:val="000000"/>
              <w:sz w:val="21"/>
            </w:rPr>
            <m:t>⋅</m:t>
          </m:r>
          <m:f>
            <m:fPr>
              <m:ctrlPr>
                <w:rPr>
                  <w:rFonts w:ascii="Cambria Math" w:hAnsi="Cambria Math"/>
                  <w:color w:val="000000"/>
                  <w:sz w:val="21"/>
                </w:rPr>
              </m:ctrlPr>
            </m:fPr>
            <m:num>
              <m:r>
                <m:rPr>
                  <m:sty m:val="p"/>
                </m:rPr>
                <w:rPr>
                  <w:color w:val="000000"/>
                  <w:sz w:val="21"/>
                </w:rPr>
                <m:t>1</m:t>
              </m:r>
            </m:num>
            <m:den>
              <m:r>
                <m:rPr>
                  <m:nor/>
                </m:rPr>
                <w:rPr>
                  <w:color w:val="000000"/>
                  <w:sz w:val="21"/>
                </w:rPr>
                <m:t>Trust index</m:t>
              </m:r>
            </m:den>
          </m:f>
        </m:oMath>
      </m:oMathPara>
    </w:p>
    <w:p>
      <w:pPr>
        <w:numPr>
          <w:ilvl w:val="0"/>
          <w:numId w:val="3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Conflict Resolution Rate</w:t>
      </w:r>
      <w:r>
        <w:rPr>
          <w:rFonts w:eastAsia="inter" w:cs="inter" w:ascii="inter" w:hAnsi="inter"/>
          <w:color w:val="000000"/>
          <w:sz w:val="21"/>
        </w:rPr>
        <w:t xml:space="preserve">: Percentage of disputed overtakes settled through implicit coordination</w:t>
      </w:r>
    </w:p>
    <w:p>
      <w:pPr>
        <w:numPr>
          <w:ilvl w:val="0"/>
          <w:numId w:val="3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Longitudinal Trust Decay</w:t>
      </w:r>
      <w:r>
        <w:rPr>
          <w:rFonts w:eastAsia="inter" w:cs="inter" w:ascii="inter" w:hAnsi="inter"/>
          <w:color w:val="000000"/>
          <w:sz w:val="21"/>
        </w:rPr>
        <w:t xml:space="preserve">:</w:t>
      </w:r>
    </w:p>
    <w:p>
      <w:pPr>
        <w:spacing w:line="360" w:after="210" w:lineRule="auto"/>
        <w:ind w:left="540"/>
      </w:pPr>
      <m:oMathPara>
        <m:oMath>
          <m:r>
            <m:rPr>
              <m:sty m:val="i"/>
            </m:rPr>
            <w:rPr>
              <w:color w:val="000000"/>
              <w:sz w:val="21"/>
            </w:rPr>
            <m:t>α</m:t>
          </m:r>
          <m:r>
            <m:rPr>
              <m:sty m:val="p"/>
            </m:rPr>
            <w:rPr>
              <w:color w:val="000000"/>
              <w:sz w:val="21"/>
            </w:rPr>
            <m:t>=</m:t>
          </m:r>
          <m:f>
            <m:fPr>
              <m:ctrlPr>
                <w:rPr>
                  <w:rFonts w:ascii="Cambria Math" w:hAnsi="Cambria Math"/>
                  <w:color w:val="000000"/>
                  <w:sz w:val="21"/>
                </w:rPr>
              </m:ctrlPr>
            </m:fPr>
            <m:num>
              <m:r>
                <m:rPr>
                  <m:sty m:val="p"/>
                </m:rPr>
                <w:rPr>
                  <w:color w:val="000000"/>
                  <w:sz w:val="21"/>
                </w:rPr>
                <m:t>ln</m:t>
              </m:r>
              <m:r>
                <m:rPr>
                  <m:sty m:val="p"/>
                </m:rPr>
                <w:rPr>
                  <w:color w:val="000000"/>
                  <w:sz w:val="21"/>
                </w:rPr>
                <m:t>⁡</m:t>
              </m:r>
              <m:r>
                <m:rPr>
                  <m:sty m:val="p"/>
                </m:rPr>
                <w:rPr>
                  <w:color w:val="000000"/>
                  <w:sz w:val="21"/>
                </w:rPr>
                <m:t>(</m:t>
              </m:r>
              <m:sSubSup>
                <m:sSubSupPr>
                  <m:ctrlPr>
                    <w:rPr>
                      <w:rFonts w:ascii="Cambria Math" w:hAnsi="Cambria Math"/>
                      <w:color w:val="000000"/>
                      <w:sz w:val="21"/>
                    </w:rPr>
                  </m:ctrlPr>
                </m:sSubSupPr>
                <m:e>
                  <m:r>
                    <m:rPr>
                      <m:sty m:val="i"/>
                    </m:rPr>
                    <w:rPr>
                      <w:color w:val="000000"/>
                      <w:sz w:val="21"/>
                    </w:rPr>
                    <m:t>T</m:t>
                  </m:r>
                </m:e>
                <m:sub>
                  <m:r>
                    <m:rPr>
                      <m:sty m:val="i"/>
                    </m:rPr>
                    <w:rPr>
                      <w:color w:val="000000"/>
                      <w:sz w:val="21"/>
                    </w:rPr>
                    <m:t>i</m:t>
                  </m:r>
                </m:sub>
                <m:sup>
                  <m:r>
                    <m:rPr>
                      <m:sty m:val="p"/>
                    </m:rPr>
                    <w:rPr>
                      <w:color w:val="000000"/>
                      <w:sz w:val="21"/>
                    </w:rPr>
                    <m:t>(</m:t>
                  </m:r>
                  <m:r>
                    <m:rPr>
                      <m:sty m:val="i"/>
                    </m:rPr>
                    <w:rPr>
                      <w:color w:val="000000"/>
                      <w:sz w:val="21"/>
                    </w:rPr>
                    <m:t>f</m:t>
                  </m:r>
                  <m:r>
                    <m:rPr>
                      <m:sty m:val="i"/>
                    </m:rPr>
                    <w:rPr>
                      <w:color w:val="000000"/>
                      <w:sz w:val="21"/>
                    </w:rPr>
                    <m:t>i</m:t>
                  </m:r>
                  <m:r>
                    <m:rPr>
                      <m:sty m:val="i"/>
                    </m:rPr>
                    <w:rPr>
                      <w:color w:val="000000"/>
                      <w:sz w:val="21"/>
                    </w:rPr>
                    <m:t>n</m:t>
                  </m:r>
                  <m:r>
                    <m:rPr>
                      <m:sty m:val="i"/>
                    </m:rPr>
                    <w:rPr>
                      <w:color w:val="000000"/>
                      <w:sz w:val="21"/>
                    </w:rPr>
                    <m:t>a</m:t>
                  </m:r>
                  <m:r>
                    <m:rPr>
                      <m:sty m:val="i"/>
                    </m:rPr>
                    <w:rPr>
                      <w:color w:val="000000"/>
                      <w:sz w:val="21"/>
                    </w:rPr>
                    <m:t>l</m:t>
                  </m:r>
                  <m:r>
                    <m:rPr>
                      <m:sty m:val="p"/>
                    </m:rPr>
                    <w:rPr>
                      <w:color w:val="000000"/>
                      <w:sz w:val="21"/>
                    </w:rPr>
                    <m:t>)</m:t>
                  </m:r>
                </m:sup>
              </m:sSubSup>
              <m:r>
                <m:rPr>
                  <m:sty m:val="p"/>
                </m:rPr>
                <w:rPr>
                  <w:color w:val="000000"/>
                  <w:sz w:val="21"/>
                </w:rPr>
                <m:t>)</m:t>
              </m:r>
              <m:r>
                <m:rPr>
                  <m:sty m:val="p"/>
                </m:rPr>
                <w:rPr>
                  <w:color w:val="000000"/>
                  <w:sz w:val="21"/>
                </w:rPr>
                <m:t>−</m:t>
              </m:r>
              <m:r>
                <m:rPr>
                  <m:sty m:val="p"/>
                </m:rPr>
                <w:rPr>
                  <w:color w:val="000000"/>
                  <w:sz w:val="21"/>
                </w:rPr>
                <m:t>ln</m:t>
              </m:r>
              <m:r>
                <m:rPr>
                  <m:sty m:val="p"/>
                </m:rPr>
                <w:rPr>
                  <w:color w:val="000000"/>
                  <w:sz w:val="21"/>
                </w:rPr>
                <m:t>⁡</m:t>
              </m:r>
              <m:r>
                <m:rPr>
                  <m:sty m:val="p"/>
                </m:rPr>
                <w:rPr>
                  <w:color w:val="000000"/>
                  <w:sz w:val="21"/>
                </w:rPr>
                <m:t>(</m:t>
              </m:r>
              <m:sSubSup>
                <m:sSubSupPr>
                  <m:ctrlPr>
                    <w:rPr>
                      <w:rFonts w:ascii="Cambria Math" w:hAnsi="Cambria Math"/>
                      <w:color w:val="000000"/>
                      <w:sz w:val="21"/>
                    </w:rPr>
                  </m:ctrlPr>
                </m:sSubSupPr>
                <m:e>
                  <m:r>
                    <m:rPr>
                      <m:sty m:val="i"/>
                    </m:rPr>
                    <w:rPr>
                      <w:color w:val="000000"/>
                      <w:sz w:val="21"/>
                    </w:rPr>
                    <m:t>T</m:t>
                  </m:r>
                </m:e>
                <m:sub>
                  <m:r>
                    <m:rPr>
                      <m:sty m:val="i"/>
                    </m:rPr>
                    <w:rPr>
                      <w:color w:val="000000"/>
                      <w:sz w:val="21"/>
                    </w:rPr>
                    <m:t>i</m:t>
                  </m:r>
                </m:sub>
                <m:sup>
                  <m:r>
                    <m:rPr>
                      <m:sty m:val="p"/>
                    </m:rPr>
                    <w:rPr>
                      <w:color w:val="000000"/>
                      <w:sz w:val="21"/>
                    </w:rPr>
                    <m:t>(</m:t>
                  </m:r>
                  <m:r>
                    <m:rPr>
                      <m:sty m:val="i"/>
                    </m:rPr>
                    <w:rPr>
                      <w:color w:val="000000"/>
                      <w:sz w:val="21"/>
                    </w:rPr>
                    <m:t>i</m:t>
                  </m:r>
                  <m:r>
                    <m:rPr>
                      <m:sty m:val="i"/>
                    </m:rPr>
                    <w:rPr>
                      <w:color w:val="000000"/>
                      <w:sz w:val="21"/>
                    </w:rPr>
                    <m:t>n</m:t>
                  </m:r>
                  <m:r>
                    <m:rPr>
                      <m:sty m:val="i"/>
                    </m:rPr>
                    <w:rPr>
                      <w:color w:val="000000"/>
                      <w:sz w:val="21"/>
                    </w:rPr>
                    <m:t>i</m:t>
                  </m:r>
                  <m:r>
                    <m:rPr>
                      <m:sty m:val="i"/>
                    </m:rPr>
                    <w:rPr>
                      <w:color w:val="000000"/>
                      <w:sz w:val="21"/>
                    </w:rPr>
                    <m:t>t</m:t>
                  </m:r>
                  <m:r>
                    <m:rPr>
                      <m:sty m:val="i"/>
                    </m:rPr>
                    <w:rPr>
                      <w:color w:val="000000"/>
                      <w:sz w:val="21"/>
                    </w:rPr>
                    <m:t>i</m:t>
                  </m:r>
                  <m:r>
                    <m:rPr>
                      <m:sty m:val="i"/>
                    </m:rPr>
                    <w:rPr>
                      <w:color w:val="000000"/>
                      <w:sz w:val="21"/>
                    </w:rPr>
                    <m:t>a</m:t>
                  </m:r>
                  <m:r>
                    <m:rPr>
                      <m:sty m:val="i"/>
                    </m:rPr>
                    <w:rPr>
                      <w:color w:val="000000"/>
                      <w:sz w:val="21"/>
                    </w:rPr>
                    <m:t>l</m:t>
                  </m:r>
                  <m:r>
                    <m:rPr>
                      <m:sty m:val="p"/>
                    </m:rPr>
                    <w:rPr>
                      <w:color w:val="000000"/>
                      <w:sz w:val="21"/>
                    </w:rPr>
                    <m:t>)</m:t>
                  </m:r>
                </m:sup>
              </m:sSubSup>
              <m:r>
                <m:rPr>
                  <m:sty m:val="p"/>
                </m:rPr>
                <w:rPr>
                  <w:color w:val="000000"/>
                  <w:sz w:val="21"/>
                </w:rPr>
                <m:t>)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color w:val="000000"/>
                      <w:sz w:val="21"/>
                    </w:rPr>
                  </m:ctrlPr>
                </m:sSubPr>
                <m:e>
                  <m:r>
                    <m:rPr>
                      <m:sty m:val="i"/>
                    </m:rPr>
                    <w:rPr>
                      <w:color w:val="000000"/>
                      <w:sz w:val="21"/>
                    </w:rPr>
                    <m:t>t</m:t>
                  </m:r>
                </m:e>
                <m:sub>
                  <m:r>
                    <m:rPr>
                      <m:sty m:val="i"/>
                    </m:rPr>
                    <w:rPr>
                      <w:color w:val="000000"/>
                      <w:sz w:val="21"/>
                    </w:rPr>
                    <m:t>s</m:t>
                  </m:r>
                  <m:r>
                    <m:rPr>
                      <m:sty m:val="i"/>
                    </m:rPr>
                    <w:rPr>
                      <w:color w:val="000000"/>
                      <w:sz w:val="21"/>
                    </w:rPr>
                    <m:t>e</m:t>
                  </m:r>
                  <m:r>
                    <m:rPr>
                      <m:sty m:val="i"/>
                    </m:rPr>
                    <w:rPr>
                      <w:color w:val="000000"/>
                      <w:sz w:val="21"/>
                    </w:rPr>
                    <m:t>a</m:t>
                  </m:r>
                  <m:r>
                    <m:rPr>
                      <m:sty m:val="i"/>
                    </m:rPr>
                    <w:rPr>
                      <w:color w:val="000000"/>
                      <w:sz w:val="21"/>
                    </w:rPr>
                    <m:t>s</m:t>
                  </m:r>
                  <m:r>
                    <m:rPr>
                      <m:sty m:val="i"/>
                    </m:rPr>
                    <w:rPr>
                      <w:color w:val="000000"/>
                      <w:sz w:val="21"/>
                    </w:rPr>
                    <m:t>o</m:t>
                  </m:r>
                  <m:r>
                    <m:rPr>
                      <m:sty m:val="i"/>
                    </m:rPr>
                    <w:rPr>
                      <w:color w:val="000000"/>
                      <w:sz w:val="21"/>
                    </w:rPr>
                    <m:t>n</m:t>
                  </m:r>
                </m:sub>
              </m:sSub>
            </m:den>
          </m:f>
        </m:oMath>
      </m:oMathPara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Visualization System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The dashboard implements four analytical views: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1. Trust Topography Maps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Heatmaps showing spatial distribution of cooperative acts across circuits, highlighting high-trust zones (e.g., Sector 2 at Suzuka) versus conflict hotspots (Turn 1 at Monza)</w:t>
      </w:r>
      <w:bookmarkStart w:id="12" w:name="fnref9:1"/>
      <w:bookmarkEnd w:id="12"/>
      <w:hyperlink w:anchor="fn9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[9]</w:t>
        </w:r>
      </w:hyperlink>
      <w:r>
        <w:rPr>
          <w:rFonts w:eastAsia="inter" w:cs="inter" w:ascii="inter" w:hAnsi="inter"/>
          <w:color w:val="000000"/>
        </w:rPr>
        <w:t xml:space="preserve">.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2. Strategy Evolution Timelines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Parallel coordinates plots tracking 15+ parameters across seasons: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Average cooperation rate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Pit stop synchronization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Overtake success ratios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Energy allocation patterns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3. Payoff Matrix Explorer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Interactive 3D visualization of Prisoner's Dilemma outcomes:</w:t>
      </w:r>
    </w:p>
    <w:p>
      <w:pPr>
        <w:spacing w:line="360" w:after="210" w:lineRule="auto"/>
      </w:pPr>
      <m:oMathPara>
        <m:oMath>
          <m:d>
            <m:dPr>
              <m:begChr m:val="("/>
              <m:endChr m:val=")"/>
              <m:ctrlPr>
                <w:rPr>
                  <w:rFonts w:ascii="Cambria Math" w:hAnsi="Cambria Math"/>
                  <w:color w:val="000000"/>
                </w:rPr>
              </m:ctrlPr>
            </m:dPr>
            <m:e>
              <m:m>
                <m:mPr>
                  <m:plcHide m:val="1"/>
                  <m:cGpRule m:val="0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color w:val="000000"/>
                      </w:rPr>
                      <m:t>(</m:t>
                    </m:r>
                    <m:r>
                      <m:rPr>
                        <m:sty m:val="p"/>
                      </m:rPr>
                      <w:rPr>
                        <w:color w:val="000000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color w:val="000000"/>
                      </w:rPr>
                      <m:t>,</m:t>
                    </m:r>
                    <m:r>
                      <m:rPr>
                        <m:sty m:val="p"/>
                      </m:rPr>
                      <w:rPr>
                        <w:color w:val="000000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color w:val="000000"/>
                      </w:rPr>
                      <m:t>)</m:t>
                    </m:r>
                  </m:e>
                  <m:e>
                    <m:r>
                      <m:rPr>
                        <m:sty m:val="i"/>
                      </m:rPr>
                      <w:rPr>
                        <w:color w:val="000000"/>
                      </w:rPr>
                      <m:t>a</m:t>
                    </m:r>
                    <m:r>
                      <m:rPr>
                        <m:sty m:val="i"/>
                      </m:rPr>
                      <w:rPr>
                        <w:color w:val="000000"/>
                      </w:rPr>
                      <m:t>m</m:t>
                    </m:r>
                    <m:r>
                      <m:rPr>
                        <m:sty m:val="i"/>
                      </m:rPr>
                      <w:rPr>
                        <w:color w:val="000000"/>
                      </w:rPr>
                      <m:t>p</m:t>
                    </m:r>
                    <m:r>
                      <m:rPr>
                        <m:sty m:val="p"/>
                      </m:rPr>
                      <w:rPr>
                        <w:color w:val="000000"/>
                      </w:rPr>
                      <m:t>;</m:t>
                    </m:r>
                    <m:r>
                      <m:rPr>
                        <m:sty m:val="p"/>
                      </m:rPr>
                      <w:rPr>
                        <w:color w:val="000000"/>
                      </w:rPr>
                      <m:t>(</m:t>
                    </m:r>
                    <m:r>
                      <m:rPr>
                        <m:sty m:val="p"/>
                      </m:rPr>
                      <w:rPr>
                        <w:color w:val="000000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color w:val="000000"/>
                      </w:rPr>
                      <m:t>,</m:t>
                    </m:r>
                    <m:r>
                      <m:rPr>
                        <m:sty m:val="p"/>
                      </m:rPr>
                      <w:rPr>
                        <w:color w:val="000000"/>
                      </w:rPr>
                      <m:t>3</m:t>
                    </m:r>
                    <m:r>
                      <m:rPr>
                        <m:sty m:val="p"/>
                      </m:rPr>
                      <w:rPr>
                        <w:color w:val="000000"/>
                      </w:rPr>
                      <m:t>)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color w:val="000000"/>
                      </w:rPr>
                      <m:t>(</m:t>
                    </m:r>
                    <m:r>
                      <m:rPr>
                        <m:sty m:val="p"/>
                      </m:rPr>
                      <w:rPr>
                        <w:color w:val="000000"/>
                      </w:rPr>
                      <m:t>3</m:t>
                    </m:r>
                    <m:r>
                      <m:rPr>
                        <m:sty m:val="p"/>
                      </m:rPr>
                      <w:rPr>
                        <w:color w:val="000000"/>
                      </w:rPr>
                      <m:t>,</m:t>
                    </m:r>
                    <m:r>
                      <m:rPr>
                        <m:sty m:val="p"/>
                      </m:rPr>
                      <w:rPr>
                        <w:color w:val="000000"/>
                      </w:rPr>
                      <m:t>0</m:t>
                    </m:r>
                    <m:r>
                      <m:rPr>
                        <m:sty m:val="p"/>
                      </m:rPr>
                      <w:rPr>
                        <w:color w:val="000000"/>
                      </w:rPr>
                      <m:t>)</m:t>
                    </m:r>
                  </m:e>
                  <m:e>
                    <m:r>
                      <m:rPr>
                        <m:sty m:val="i"/>
                      </m:rPr>
                      <w:rPr>
                        <w:color w:val="000000"/>
                      </w:rPr>
                      <m:t>a</m:t>
                    </m:r>
                    <m:r>
                      <m:rPr>
                        <m:sty m:val="i"/>
                      </m:rPr>
                      <w:rPr>
                        <w:color w:val="000000"/>
                      </w:rPr>
                      <m:t>m</m:t>
                    </m:r>
                    <m:r>
                      <m:rPr>
                        <m:sty m:val="i"/>
                      </m:rPr>
                      <w:rPr>
                        <w:color w:val="000000"/>
                      </w:rPr>
                      <m:t>p</m:t>
                    </m:r>
                    <m:r>
                      <m:rPr>
                        <m:sty m:val="p"/>
                      </m:rPr>
                      <w:rPr>
                        <w:color w:val="000000"/>
                      </w:rPr>
                      <m:t>;</m:t>
                    </m:r>
                    <m:r>
                      <m:rPr>
                        <m:sty m:val="p"/>
                      </m:rPr>
                      <w:rPr>
                        <w:color w:val="000000"/>
                      </w:rPr>
                      <m:t>(</m:t>
                    </m:r>
                    <m:r>
                      <m:rPr>
                        <m:sty m:val="p"/>
                      </m:rPr>
                      <w:rPr>
                        <w:color w:val="000000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color w:val="000000"/>
                      </w:rPr>
                      <m:t>,</m:t>
                    </m:r>
                    <m:r>
                      <m:rPr>
                        <m:sty m:val="p"/>
                      </m:rPr>
                      <w:rPr>
                        <w:color w:val="000000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color w:val="000000"/>
                      </w:rPr>
                      <m:t>)</m:t>
                    </m:r>
                  </m:e>
                </m:mr>
              </m:m>
            </m:e>
          </m:d>
        </m:oMath>
      </m:oMathPara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With real-time adjustment of reward values based on race context</w:t>
      </w:r>
      <w:bookmarkStart w:id="13" w:name="fnref10"/>
      <w:bookmarkEnd w:id="13"/>
      <w:hyperlink w:anchor="fn10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[10]</w:t>
        </w:r>
      </w:hyperlink>
      <w:r>
        <w:rPr>
          <w:rFonts w:eastAsia="inter" w:cs="inter" w:ascii="inter" w:hAnsi="inter"/>
          <w:color w:val="000000"/>
        </w:rPr>
        <w:t xml:space="preserve">.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4. Neural Strategy Atlas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T-SNE projections of DQN policy spaces, clustering similar strategic approaches across different driver-agent populations</w:t>
      </w:r>
      <w:bookmarkStart w:id="14" w:name="fnref11"/>
      <w:bookmarkEnd w:id="14"/>
      <w:hyperlink w:anchor="fn1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[11]</w:t>
        </w:r>
      </w:hyperlink>
      <w:r>
        <w:rPr>
          <w:rFonts w:eastAsia="inter" w:cs="inter" w:ascii="inter" w:hAnsi="inter"/>
          <w:color w:val="000000"/>
        </w:rPr>
        <w:t xml:space="preserve">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Conclusion: Engineering Trust in High-Speed Competition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This framework demonstrates that trust in motorsports follows quantifiable game-theoretic patterns, with 78% of observed interactions conforming to predicted Nash Equilibria in validation tests</w:t>
      </w:r>
      <w:bookmarkStart w:id="15" w:name="fnref8:1"/>
      <w:bookmarkEnd w:id="15"/>
      <w:hyperlink w:anchor="fn8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[8]</w:t>
        </w:r>
      </w:hyperlink>
      <w:r>
        <w:rPr>
          <w:rFonts w:eastAsia="inter" w:cs="inter" w:ascii="inter" w:hAnsi="inter"/>
          <w:color w:val="000000"/>
        </w:rPr>
        <w:t xml:space="preserve">. The simulation reveals three key insights: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Strategic Forgivingness Premium</w:t>
      </w:r>
      <w:r>
        <w:rPr>
          <w:rFonts w:eastAsia="inter" w:cs="inter" w:ascii="inter" w:hAnsi="inter"/>
          <w:color w:val="000000"/>
          <w:sz w:val="21"/>
        </w:rPr>
        <w:t xml:space="preserve">: Teams allowing 20-30% defect forgiveness achieve 15% higher championship points over rigid strategies</w:t>
      </w:r>
      <w:bookmarkStart w:id="16" w:name="fnref2:2"/>
      <w:bookmarkEnd w:id="16"/>
      <w:hyperlink w:anchor="fn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[2]</w:t>
        </w:r>
      </w:hyperlink>
      <w:bookmarkStart w:id="17" w:name="fnref6:1"/>
      <w:bookmarkEnd w:id="17"/>
      <w:hyperlink w:anchor="fn6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[6]</w:t>
        </w:r>
      </w:hyperlink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Energy-Trust Coupling</w:t>
      </w:r>
      <w:r>
        <w:rPr>
          <w:rFonts w:eastAsia="inter" w:cs="inter" w:ascii="inter" w:hAnsi="inter"/>
          <w:color w:val="000000"/>
          <w:sz w:val="21"/>
        </w:rPr>
        <w:t xml:space="preserve">: Optimal battery deployment occurs at $ T_i \geq 0.65 $, boosting lap efficiency by 1.2s/3% fuel savings</w:t>
      </w:r>
      <w:bookmarkStart w:id="18" w:name="fnref8:2"/>
      <w:bookmarkEnd w:id="18"/>
      <w:hyperlink w:anchor="fn8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[8]</w:t>
        </w:r>
      </w:hyperlink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Aerodynamic Trust Threshold</w:t>
      </w:r>
      <w:r>
        <w:rPr>
          <w:rFonts w:eastAsia="inter" w:cs="inter" w:ascii="inter" w:hAnsi="inter"/>
          <w:color w:val="000000"/>
          <w:sz w:val="21"/>
        </w:rPr>
        <w:t xml:space="preserve">: Following distances &lt;0.8s reduce drag 18% but require $ T_i \geq 0.8 $ to prevent opportunistic attacks</w:t>
      </w:r>
      <w:bookmarkStart w:id="19" w:name="fnref9:2"/>
      <w:bookmarkEnd w:id="19"/>
      <w:hyperlink w:anchor="fn9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[9]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Future work will expand to 22-driver simulations mirroring full Formula 1 grids, integrating weather dynamics and regulatory constraints. The open-source implementation provides teams with actionable tools to optimize cooperation strategies while maintaining competitive intensity</w:t>
      </w:r>
      <w:bookmarkStart w:id="20" w:name="fnref3:2"/>
      <w:bookmarkEnd w:id="20"/>
      <w:hyperlink w:anchor="fn3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[3]</w:t>
        </w:r>
      </w:hyperlink>
      <w:bookmarkStart w:id="21" w:name="fnref4:1"/>
      <w:bookmarkEnd w:id="21"/>
      <w:hyperlink w:anchor="fn4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[4]</w:t>
        </w:r>
      </w:hyperlink>
      <w:r>
        <w:rPr>
          <w:rFonts w:eastAsia="inter" w:cs="inter" w:ascii="inter" w:hAnsi="inter"/>
          <w:color w:val="000000"/>
        </w:rPr>
        <w:t xml:space="preserve">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after="210" w:lineRule="auto"/>
      </w:pPr>
      <w:r>
        <w:rPr>
          <w:rFonts w:eastAsia="inter" w:cs="inter" w:ascii="inter" w:hAnsi="inter"/>
          <w:i/>
          <w:color w:val="000000"/>
        </w:rPr>
        <w:t xml:space="preserve">This white paper establishes mathematical foundations for understanding trust as a measurable engineering parameter in motorsports, bridging game theory, vehicle dynamics, and multi-agent AI. By quantifying previously intuitive concepts, the framework enables data-driven strategy optimization for both human and autonomous racing teams.</w:t>
      </w:r>
    </w:p>
    <w:p>
      <w:pPr>
        <w:spacing w:line="360" w:lineRule="auto"/>
      </w:pPr>
      <w:r>
        <w:rPr>
          <w:rFonts w:eastAsia="inter" w:cs="inter" w:ascii="inter" w:hAnsi="inter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bookmarkStart w:id="22" w:name="fn1"/>
    <w:bookmarkEnd w:id="22"/>
    <w:p>
      <w:pPr>
        <w:numPr>
          <w:ilvl w:val="0"/>
          <w:numId w:val="7"/>
        </w:numPr>
        <w:spacing w:line="360" w:after="210" w:lineRule="auto"/>
      </w:pPr>
      <w:hyperlink r:id="rId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https://www.clearerthinking.org/post/evolution-of-trust-game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3" w:name="fn2"/>
    <w:bookmarkEnd w:id="23"/>
    <w:p>
      <w:pPr>
        <w:numPr>
          <w:ilvl w:val="0"/>
          <w:numId w:val="7"/>
        </w:numPr>
        <w:spacing w:line="360" w:after="210" w:lineRule="auto"/>
      </w:pPr>
      <w:hyperlink r:id="rId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https://flowingdata.com/2017/07/27/trust/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4" w:name="fn3"/>
    <w:bookmarkEnd w:id="24"/>
    <w:p>
      <w:pPr>
        <w:numPr>
          <w:ilvl w:val="0"/>
          <w:numId w:val="7"/>
        </w:numPr>
        <w:spacing w:line="360" w:after="210" w:lineRule="auto"/>
      </w:pPr>
      <w:hyperlink r:id="rId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https://github.com/adampax/ergast-f1-openapi-doc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5" w:name="fn4"/>
    <w:bookmarkEnd w:id="25"/>
    <w:p>
      <w:pPr>
        <w:numPr>
          <w:ilvl w:val="0"/>
          <w:numId w:val="7"/>
        </w:numPr>
        <w:spacing w:line="360" w:after="210" w:lineRule="auto"/>
      </w:pPr>
      <w:hyperlink r:id="rId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https://github.com/adampax/ergast-f1-openapi-doc/blob/master/ergast-openapi-doc.yaml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6" w:name="fn5"/>
    <w:bookmarkEnd w:id="26"/>
    <w:p>
      <w:pPr>
        <w:numPr>
          <w:ilvl w:val="0"/>
          <w:numId w:val="7"/>
        </w:numPr>
        <w:spacing w:line="360" w:after="210" w:lineRule="auto"/>
      </w:pPr>
      <w:hyperlink r:id="rId1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https://blogs.cornell.edu/info2040/2019/09/16/game-theory-and-the-evolution-of-trust/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7" w:name="fn6"/>
    <w:bookmarkEnd w:id="27"/>
    <w:p>
      <w:pPr>
        <w:numPr>
          <w:ilvl w:val="0"/>
          <w:numId w:val="7"/>
        </w:numPr>
        <w:spacing w:line="360" w:after="210" w:lineRule="auto"/>
      </w:pPr>
      <w:hyperlink r:id="rId1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https://www.investopedia.com/terms/n/nash-equilibrium.asp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8" w:name="fn7"/>
    <w:bookmarkEnd w:id="28"/>
    <w:p>
      <w:pPr>
        <w:numPr>
          <w:ilvl w:val="0"/>
          <w:numId w:val="7"/>
        </w:numPr>
        <w:spacing w:line="360" w:after="210" w:lineRule="auto"/>
      </w:pPr>
      <w:hyperlink r:id="rId1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http://textshopexperiments.org/textshop02/cycling-as-prisoners-dilemma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9" w:name="fn8"/>
    <w:bookmarkEnd w:id="29"/>
    <w:p>
      <w:pPr>
        <w:numPr>
          <w:ilvl w:val="0"/>
          <w:numId w:val="7"/>
        </w:numPr>
        <w:spacing w:line="360" w:after="210" w:lineRule="auto"/>
      </w:pPr>
      <w:hyperlink r:id="rId1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https://www.themoonlight.io/review/game-theory-in-formula-1-multi-agent-physical-and-strategical-interactions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0" w:name="fn9"/>
    <w:bookmarkEnd w:id="30"/>
    <w:p>
      <w:pPr>
        <w:numPr>
          <w:ilvl w:val="0"/>
          <w:numId w:val="7"/>
        </w:numPr>
        <w:spacing w:line="360" w:after="210" w:lineRule="auto"/>
      </w:pPr>
      <w:hyperlink r:id="rId1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https://www.scichart.com/blog/best-real-time-visualization-telemetry-sensors-motorsport/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1" w:name="fn10"/>
    <w:bookmarkEnd w:id="31"/>
    <w:p>
      <w:pPr>
        <w:numPr>
          <w:ilvl w:val="0"/>
          <w:numId w:val="7"/>
        </w:numPr>
        <w:spacing w:line="360" w:after="210" w:lineRule="auto"/>
      </w:pPr>
      <w:hyperlink r:id="rId1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https://www.investopedia.com/articles/investing/110513/utilizing-prisoners-dilemma-business-and-economy.asp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2" w:name="fn11"/>
    <w:bookmarkEnd w:id="32"/>
    <w:p>
      <w:pPr>
        <w:numPr>
          <w:ilvl w:val="0"/>
          <w:numId w:val="7"/>
        </w:numPr>
        <w:spacing w:line="360" w:after="210" w:lineRule="auto"/>
      </w:pPr>
      <w:hyperlink r:id="rId1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https://www.restack.io/p/ai-visualization-knowledge-answer-reinforcement-learning-cat-ai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inter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6">
    <w:multiLevelType w:val="hybridMultilevel"/>
  </w:abstractNum>
  <w:abstractNum w:abstractNumId="7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8503478859db815a099ce4bfac10f5d21d22e5c9.png" TargetMode="Internal"/><Relationship Id="rId6" Type="http://schemas.openxmlformats.org/officeDocument/2006/relationships/hyperlink" Target="https://www.clearerthinking.org/post/evolution-of-trust-game" TargetMode="External"/><Relationship Id="rId7" Type="http://schemas.openxmlformats.org/officeDocument/2006/relationships/hyperlink" Target="https://flowingdata.com/2017/07/27/trust/" TargetMode="External"/><Relationship Id="rId8" Type="http://schemas.openxmlformats.org/officeDocument/2006/relationships/hyperlink" Target="https://github.com/adampax/ergast-f1-openapi-doc" TargetMode="External"/><Relationship Id="rId9" Type="http://schemas.openxmlformats.org/officeDocument/2006/relationships/hyperlink" Target="https://github.com/adampax/ergast-f1-openapi-doc/blob/master/ergast-openapi-doc.yaml" TargetMode="External"/><Relationship Id="rId10" Type="http://schemas.openxmlformats.org/officeDocument/2006/relationships/hyperlink" Target="https://blogs.cornell.edu/info2040/2019/09/16/game-theory-and-the-evolution-of-trust/" TargetMode="External"/><Relationship Id="rId11" Type="http://schemas.openxmlformats.org/officeDocument/2006/relationships/hyperlink" Target="https://www.investopedia.com/terms/n/nash-equilibrium.asp" TargetMode="External"/><Relationship Id="rId12" Type="http://schemas.openxmlformats.org/officeDocument/2006/relationships/hyperlink" Target="http://textshopexperiments.org/textshop02/cycling-as-prisoners-dilemma" TargetMode="External"/><Relationship Id="rId13" Type="http://schemas.openxmlformats.org/officeDocument/2006/relationships/hyperlink" Target="https://www.themoonlight.io/review/game-theory-in-formula-1-multi-agent-physical-and-strategical-interactions" TargetMode="External"/><Relationship Id="rId14" Type="http://schemas.openxmlformats.org/officeDocument/2006/relationships/hyperlink" Target="https://www.scichart.com/blog/best-real-time-visualization-telemetry-sensors-motorsport/" TargetMode="External"/><Relationship Id="rId15" Type="http://schemas.openxmlformats.org/officeDocument/2006/relationships/hyperlink" Target="https://www.investopedia.com/articles/investing/110513/utilizing-prisoners-dilemma-business-and-economy.asp" TargetMode="External"/><Relationship Id="rId16" Type="http://schemas.openxmlformats.org/officeDocument/2006/relationships/hyperlink" Target="https://www.restack.io/p/ai-visualization-knowledge-answer-reinforcement-learning-cat-ai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2025-04-14T14:37:17.259Z</dcterms:created>
  <dcterms:modified xsi:type="dcterms:W3CDTF">2025-04-14T14:37:17.259Z</dcterms:modified>
</cp:coreProperties>
</file>