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284C7"/>
          <w:sz w:val="19"/>
        </w:rPr>
        <w:t>SATQUERY AI — EARTH OBSERVATION WORKBENCH</w:t>
        <w:br/>
      </w:r>
      <w:r>
        <w:rPr>
          <w:rFonts w:ascii="Arial" w:hAnsi="Arial"/>
          <w:b/>
          <w:color w:val="0F172A"/>
          <w:sz w:val="40"/>
        </w:rPr>
        <w:t>Remote Sensing Inspection Report</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1728"/>
          </w:tcPr>
          <w:p>
            <w:pPr>
              <w:spacing w:before="40" w:after="40"/>
            </w:pPr>
            <w:r>
              <w:rPr>
                <w:rFonts w:ascii="Arial" w:hAnsi="Arial"/>
                <w:b/>
                <w:color w:val="475569"/>
                <w:sz w:val="17"/>
              </w:rPr>
              <w:t>Report ID</w:t>
            </w:r>
          </w:p>
        </w:tc>
        <w:tc>
          <w:tcPr>
            <w:tcW w:type="dxa" w:w="3456"/>
          </w:tcPr>
          <w:p>
            <w:pPr>
              <w:spacing w:before="40" w:after="40"/>
            </w:pPr>
            <w:r>
              <w:rPr>
                <w:rFonts w:ascii="Arial" w:hAnsi="Arial"/>
                <w:b w:val="0"/>
                <w:sz w:val="17"/>
              </w:rPr>
              <w:t>2b4c71b1ddbf4aaf</w:t>
            </w:r>
          </w:p>
        </w:tc>
        <w:tc>
          <w:tcPr>
            <w:tcW w:type="dxa" w:w="1728"/>
          </w:tcPr>
          <w:p>
            <w:pPr>
              <w:spacing w:before="40" w:after="40"/>
            </w:pPr>
            <w:r>
              <w:rPr>
                <w:rFonts w:ascii="Arial" w:hAnsi="Arial"/>
                <w:b/>
                <w:color w:val="475569"/>
                <w:sz w:val="17"/>
              </w:rPr>
              <w:t>Timestamp</w:t>
            </w:r>
          </w:p>
        </w:tc>
        <w:tc>
          <w:tcPr>
            <w:tcW w:type="dxa" w:w="3456"/>
          </w:tcPr>
          <w:p>
            <w:pPr>
              <w:spacing w:before="40" w:after="40"/>
            </w:pPr>
            <w:r>
              <w:rPr>
                <w:rFonts w:ascii="Arial" w:hAnsi="Arial"/>
                <w:b w:val="0"/>
                <w:sz w:val="17"/>
              </w:rPr>
              <w:t>2026-09-07T18:37:47</w:t>
            </w:r>
          </w:p>
        </w:tc>
      </w:tr>
      <w:tr>
        <w:tc>
          <w:tcPr>
            <w:tcW w:type="dxa" w:w="1728"/>
          </w:tcPr>
          <w:p>
            <w:pPr>
              <w:spacing w:before="40" w:after="40"/>
            </w:pPr>
            <w:r>
              <w:rPr>
                <w:rFonts w:ascii="Arial" w:hAnsi="Arial"/>
                <w:b/>
                <w:color w:val="475569"/>
                <w:sz w:val="17"/>
              </w:rPr>
              <w:t>Confidence</w:t>
            </w:r>
          </w:p>
        </w:tc>
        <w:tc>
          <w:tcPr>
            <w:tcW w:type="dxa" w:w="3456"/>
          </w:tcPr>
          <w:p>
            <w:pPr>
              <w:spacing w:before="40" w:after="40"/>
            </w:pPr>
            <w:r>
              <w:rPr>
                <w:rFonts w:ascii="Arial" w:hAnsi="Arial"/>
                <w:b w:val="0"/>
                <w:sz w:val="17"/>
              </w:rPr>
              <w:t>Medium (0.65)</w:t>
            </w:r>
          </w:p>
        </w:tc>
        <w:tc>
          <w:tcPr>
            <w:tcW w:type="dxa" w:w="1728"/>
          </w:tcPr>
          <w:p>
            <w:pPr>
              <w:spacing w:before="40" w:after="40"/>
            </w:pPr>
            <w:r>
              <w:rPr>
                <w:rFonts w:ascii="Arial" w:hAnsi="Arial"/>
                <w:b/>
                <w:color w:val="475569"/>
                <w:sz w:val="17"/>
              </w:rPr>
              <w:t>Images</w:t>
            </w:r>
          </w:p>
        </w:tc>
        <w:tc>
          <w:tcPr>
            <w:tcW w:type="dxa" w:w="3456"/>
          </w:tcPr>
          <w:p>
            <w:pPr>
              <w:spacing w:before="40" w:after="40"/>
            </w:pPr>
            <w:r>
              <w:rPr>
                <w:rFonts w:ascii="Arial" w:hAnsi="Arial"/>
                <w:b w:val="0"/>
                <w:sz w:val="17"/>
              </w:rPr>
              <w:t>2 scene(s)</w:t>
            </w:r>
          </w:p>
        </w:tc>
      </w:tr>
      <w:tr>
        <w:tc>
          <w:tcPr>
            <w:tcW w:type="dxa" w:w="1728"/>
          </w:tcPr>
          <w:p>
            <w:pPr>
              <w:spacing w:before="40" w:after="40"/>
            </w:pPr>
            <w:r>
              <w:rPr>
                <w:rFonts w:ascii="Arial" w:hAnsi="Arial"/>
                <w:b/>
                <w:color w:val="475569"/>
                <w:sz w:val="17"/>
              </w:rPr>
              <w:t>Query</w:t>
            </w:r>
          </w:p>
        </w:tc>
        <w:tc>
          <w:tcPr>
            <w:tcW w:type="dxa" w:w="3456"/>
          </w:tcPr>
          <w:p>
            <w:pPr>
              <w:spacing w:before="40" w:after="40"/>
            </w:pPr>
            <w:r>
              <w:rPr>
                <w:rFonts w:ascii="Arial" w:hAnsi="Arial"/>
                <w:b w:val="0"/>
                <w:sz w:val="17"/>
              </w:rPr>
              <w:t>Execute optical and SAR radar fusion to detect metallic vessels and corner-reflecting infrastructure.</w:t>
            </w:r>
          </w:p>
        </w:tc>
        <w:tc>
          <w:tcPr>
            <w:tcW w:type="dxa" w:w="1728"/>
          </w:tcPr>
          <w:p>
            <w:pPr>
              <w:spacing w:before="40" w:after="40"/>
            </w:pPr>
            <w:r>
              <w:rPr>
                <w:rFonts w:ascii="Arial" w:hAnsi="Arial"/>
                <w:b/>
                <w:color w:val="475569"/>
                <w:sz w:val="17"/>
              </w:rPr>
              <w:t>Evidence</w:t>
            </w:r>
          </w:p>
        </w:tc>
        <w:tc>
          <w:tcPr>
            <w:tcW w:type="dxa" w:w="3456"/>
          </w:tcPr>
          <w:p>
            <w:pPr>
              <w:spacing w:before="40" w:after="40"/>
            </w:pPr>
            <w:r>
              <w:rPr>
                <w:rFonts w:ascii="Arial" w:hAnsi="Arial"/>
                <w:b w:val="0"/>
                <w:sz w:val="17"/>
              </w:rPr>
              <w:t>sar_fusion</w:t>
            </w:r>
          </w:p>
        </w:tc>
      </w:tr>
    </w:tbl>
    <w:p>
      <w:pPr>
        <w:spacing w:after="160"/>
      </w:pPr>
    </w:p>
    <w:p>
      <w:pPr>
        <w:pStyle w:val="Heading2"/>
        <w:spacing w:before="200" w:after="80"/>
      </w:pPr>
      <w:r>
        <w:t>Executive Summary &amp; Findings</w:t>
      </w:r>
    </w:p>
    <w:p>
      <w:pPr>
        <w:spacing w:before="80" w:after="160"/>
        <w:ind w:left="288" w:right="288"/>
      </w:pPr>
      <w:r>
        <w:rPr>
          <w:rFonts w:ascii="Arial" w:hAnsi="Arial"/>
          <w:color w:val="0F172A"/>
          <w:sz w:val="20"/>
        </w:rPr>
        <w:t>{</w:t>
        <w:br/>
        <w:t xml:space="preserve">    "summary": "The fused optical and SAR observations clearly delineate a bustling urban port environment, successfully identifying numerous metallic vessels and extensive corner-reflecting infrastructure. SAR backscatter strongly corroborates optical features, highlighting high-reflectivity objects against the specularly reflecting water bodies, enabling all-weather maritime and structural monitoring.",</w:t>
        <w:br/>
        <w:t xml:space="preserve">    "detailed_analysis": {</w:t>
        <w:br/>
        <w:t xml:space="preserve">        "scene_overview": "This multi-sensor capture presents a vibrant coastal city with a large, active port. The optical imagery provides detailed multi-spectral reflectance showing urban sprawl, dense building structures, roads, and numerous ships docked and in transit across the deep blue water. The SAR microwave backscatter image complements this by emphasizing dielectric properties and surface geometry, revealing strong returns from urban structures and metallic vessels, while water bodies appear as areas of low backscatter.",</w:t>
        <w:br/>
        <w:t xml:space="preserve">        "land_cover": "The fused LULC classification identifies dense urban built</w:t>
      </w:r>
    </w:p>
    <w:p>
      <w:pPr>
        <w:pStyle w:val="Heading2"/>
        <w:spacing w:before="200" w:after="80"/>
      </w:pPr>
      <w:r>
        <w:t>Visual Evidence Grounding</w:t>
      </w:r>
    </w:p>
    <w:p>
      <w:r>
        <w:drawing>
          <wp:inline xmlns:a="http://schemas.openxmlformats.org/drawingml/2006/main" xmlns:pic="http://schemas.openxmlformats.org/drawingml/2006/picture">
            <wp:extent cx="6217920" cy="2493325"/>
            <wp:docPr id="1" name="Picture 1"/>
            <wp:cNvGraphicFramePr>
              <a:graphicFrameLocks noChangeAspect="1"/>
            </wp:cNvGraphicFramePr>
            <a:graphic>
              <a:graphicData uri="http://schemas.openxmlformats.org/drawingml/2006/picture">
                <pic:pic>
                  <pic:nvPicPr>
                    <pic:cNvPr id="0" name="fusion_14a2ed46be0b.png"/>
                    <pic:cNvPicPr/>
                  </pic:nvPicPr>
                  <pic:blipFill>
                    <a:blip r:embed="rId9"/>
                    <a:stretch>
                      <a:fillRect/>
                    </a:stretch>
                  </pic:blipFill>
                  <pic:spPr>
                    <a:xfrm>
                      <a:off x="0" y="0"/>
                      <a:ext cx="6217920" cy="2493325"/>
                    </a:xfrm>
                    <a:prstGeom prst="rect"/>
                  </pic:spPr>
                </pic:pic>
              </a:graphicData>
            </a:graphic>
          </wp:inline>
        </w:drawing>
      </w:r>
    </w:p>
    <w:p>
      <w:pPr>
        <w:spacing w:after="160"/>
      </w:pPr>
      <w:r>
        <w:rPr>
          <w:i/>
          <w:sz w:val="16"/>
        </w:rPr>
        <w:t>Figure: Orthorectified satellite scene with detected spatial features and evidence overlay.</w:t>
      </w:r>
    </w:p>
    <w:p>
      <w:pPr>
        <w:pStyle w:val="Heading2"/>
        <w:spacing w:before="200" w:after="80"/>
      </w:pPr>
      <w:r>
        <w:t>Multi-Angle Satellite Telemetry</w:t>
      </w:r>
    </w:p>
    <w:tbl>
      <w:tblPr>
        <w:tblW w:type="auto" w:w="0"/>
        <w:jc w:val="center"/>
        <w:tblLook w:firstColumn="1" w:firstRow="1" w:lastColumn="0" w:lastRow="0" w:noHBand="0" w:noVBand="1" w:val="04A0"/>
      </w:tblPr>
      <w:tblGrid>
        <w:gridCol w:w="5256"/>
        <w:gridCol w:w="5256"/>
      </w:tblGrid>
      <w:tr>
        <w:tc>
          <w:tcPr>
            <w:tcW w:type="dxa" w:w="2592"/>
          </w:tcPr>
          <w:p>
            <w:r>
              <w:rPr>
                <w:rFonts w:ascii="Arial" w:hAnsi="Arial"/>
                <w:b/>
                <w:sz w:val="17"/>
              </w:rPr>
              <w:t>Scene Overview</w:t>
            </w:r>
          </w:p>
        </w:tc>
        <w:tc>
          <w:tcPr>
            <w:tcW w:type="dxa" w:w="7776"/>
          </w:tcPr>
          <w:p>
            <w:r>
              <w:rPr>
                <w:rFonts w:ascii="Arial" w:hAnsi="Arial"/>
                <w:sz w:val="17"/>
              </w:rPr>
              <w:t>{</w:t>
              <w:br/>
              <w:t xml:space="preserve">    "summary": "The fused optical and SAR observations clearly delineate a bustling urban port environment, successfully identifying numerous metallic vessels and extensive corner-reflecting infrastructure. SAR backscatter strongly corroborates optical features, highlighting high-reflectivity objects against the specularly reflecting water bodies, enabling all-weather maritime and structural monitoring.",</w:t>
              <w:br/>
              <w:t xml:space="preserve">    "detailed_analysis": {</w:t>
              <w:br/>
              <w:t xml:space="preserve">        "scene_overview": "This multi-sensor capture presents a vibrant coastal city with a large, active port. The optical imagery provides detailed multi-spectral reflectance showing urban sprawl, dense building structures, roads, and numerous ships docked and in transit across the deep blue water. The SAR microwave backscatter image complements this by emphasizing dielectric properties and surface geometry, revealing strong returns from urban structures and metallic vessels, while water bodies appear as areas of low backscatter.",</w:t>
              <w:br/>
              <w:t xml:space="preserve">        "land_cover": "The fused LULC classification identifies dense urban built</w:t>
            </w:r>
          </w:p>
        </w:tc>
      </w:tr>
      <w:tr>
        <w:tc>
          <w:tcPr>
            <w:tcW w:type="dxa" w:w="2592"/>
          </w:tcPr>
          <w:p>
            <w:r>
              <w:rPr>
                <w:rFonts w:ascii="Arial" w:hAnsi="Arial"/>
                <w:b/>
                <w:sz w:val="17"/>
              </w:rPr>
              <w:t>Land Cover (LULC)</w:t>
            </w:r>
          </w:p>
        </w:tc>
        <w:tc>
          <w:tcPr>
            <w:tcW w:type="dxa" w:w="7776"/>
          </w:tcPr>
          <w:p>
            <w:r>
              <w:rPr>
                <w:rFonts w:ascii="Arial" w:hAnsi="Arial"/>
                <w:sz w:val="17"/>
              </w:rPr>
              <w:t>General remote sensing scene</w:t>
            </w:r>
          </w:p>
        </w:tc>
      </w:tr>
      <w:tr>
        <w:tc>
          <w:tcPr>
            <w:tcW w:type="dxa" w:w="2592"/>
          </w:tcPr>
          <w:p>
            <w:r>
              <w:rPr>
                <w:rFonts w:ascii="Arial" w:hAnsi="Arial"/>
                <w:b/>
                <w:sz w:val="17"/>
              </w:rPr>
              <w:t>Key Spatial Features</w:t>
            </w:r>
          </w:p>
        </w:tc>
        <w:tc>
          <w:tcPr>
            <w:tcW w:type="dxa" w:w="7776"/>
          </w:tcPr>
          <w:p>
            <w:r>
              <w:rPr>
                <w:rFonts w:ascii="Arial" w:hAnsi="Arial"/>
                <w:sz w:val="17"/>
              </w:rPr>
              <w:t>N/A</w:t>
            </w:r>
          </w:p>
        </w:tc>
      </w:tr>
      <w:tr>
        <w:tc>
          <w:tcPr>
            <w:tcW w:type="dxa" w:w="2592"/>
          </w:tcPr>
          <w:p>
            <w:r>
              <w:rPr>
                <w:rFonts w:ascii="Arial" w:hAnsi="Arial"/>
                <w:b/>
                <w:sz w:val="17"/>
              </w:rPr>
              <w:t>Spatial Configuration</w:t>
            </w:r>
          </w:p>
        </w:tc>
        <w:tc>
          <w:tcPr>
            <w:tcW w:type="dxa" w:w="7776"/>
          </w:tcPr>
          <w:p>
            <w:r>
              <w:rPr>
                <w:rFonts w:ascii="Arial" w:hAnsi="Arial"/>
                <w:sz w:val="17"/>
              </w:rPr>
              <w:t>Standard geographic layout</w:t>
            </w:r>
          </w:p>
        </w:tc>
      </w:tr>
      <w:tr>
        <w:tc>
          <w:tcPr>
            <w:tcW w:type="dxa" w:w="2592"/>
          </w:tcPr>
          <w:p>
            <w:r>
              <w:rPr>
                <w:rFonts w:ascii="Arial" w:hAnsi="Arial"/>
                <w:b/>
                <w:sz w:val="17"/>
              </w:rPr>
              <w:t>Spectral Indicators</w:t>
            </w:r>
          </w:p>
        </w:tc>
        <w:tc>
          <w:tcPr>
            <w:tcW w:type="dxa" w:w="7776"/>
          </w:tcPr>
          <w:p>
            <w:r>
              <w:rPr>
                <w:rFonts w:ascii="Arial" w:hAnsi="Arial"/>
                <w:sz w:val="17"/>
              </w:rPr>
              <w:t>Visible optical spectrum</w:t>
            </w:r>
          </w:p>
        </w:tc>
      </w:tr>
      <w:tr>
        <w:tc>
          <w:tcPr>
            <w:tcW w:type="dxa" w:w="2592"/>
          </w:tcPr>
          <w:p>
            <w:r>
              <w:rPr>
                <w:rFonts w:ascii="Arial" w:hAnsi="Arial"/>
                <w:b/>
                <w:sz w:val="17"/>
              </w:rPr>
              <w:t>Risk Assessment</w:t>
            </w:r>
          </w:p>
        </w:tc>
        <w:tc>
          <w:tcPr>
            <w:tcW w:type="dxa" w:w="7776"/>
          </w:tcPr>
          <w:p>
            <w:r>
              <w:rPr>
                <w:rFonts w:ascii="Arial" w:hAnsi="Arial"/>
                <w:sz w:val="17"/>
              </w:rPr>
              <w:t>No critical hazards detected</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