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3f554cad8de749d3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2026-09-07T18:39:09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High (0.96)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1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Analyze agricultural crop health and identify the river channel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bbox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Inland lacustrine feature localized in the southern/western quadrant with stable hydrologic perimeter boundaries.</w:t>
      </w:r>
    </w:p>
    <w:p>
      <w:pPr>
        <w:pStyle w:val="Heading2"/>
        <w:spacing w:before="200" w:after="80"/>
      </w:pPr>
      <w:r>
        <w:t>Visual Evidence Grounding</w:t>
      </w:r>
    </w:p>
    <w:p>
      <w:r>
        <w:drawing>
          <wp:inline xmlns:a="http://schemas.openxmlformats.org/drawingml/2006/main" xmlns:pic="http://schemas.openxmlformats.org/drawingml/2006/picture">
            <wp:extent cx="6217920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2f9778db142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Figure: Orthorectified satellite scene with detected spatial features and evidence overlay.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Hydrological drainage basin and shoreline environment displaying distinct spectral contrast against surrounding riparian terrain.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Open Water: ~45%, Riparian Vegetation: ~35%, Adjacent Open Ground: ~20%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Principal water basin situated in the lower-left to central sector</w:t>
              <w:br/>
              <w:t>• Shoreline transitional buffer zone with characteristic low NIR albedo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Naturally meandering shoreline geometry consistent with alluvial deposition patterns.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Deep optical absorption confirming active surface water; marginal turbidity along shallow embankments.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Monitoring recommended for shoreline erosion and seasonal water-level fluctuation.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