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284C7"/>
          <w:sz w:val="19"/>
        </w:rPr>
        <w:t>SATQUERY AI — EARTH OBSERVATION WORKBENCH</w:t>
        <w:br/>
      </w:r>
      <w:r>
        <w:rPr>
          <w:rFonts w:ascii="Arial" w:hAnsi="Arial"/>
          <w:b/>
          <w:color w:val="0F172A"/>
          <w:sz w:val="40"/>
        </w:rPr>
        <w:t>Remote Sensing Inspection Report</w:t>
      </w:r>
    </w:p>
    <w:tbl>
      <w:tblPr>
        <w:tblW w:type="auto" w:w="0"/>
        <w:jc w:val="center"/>
        <w:tblLayout w:type="fixed"/>
        <w:tblLook w:firstColumn="1" w:firstRow="1" w:lastColumn="0" w:lastRow="0" w:noHBand="0" w:noVBand="1" w:val="04A0"/>
      </w:tblPr>
      <w:tblGrid>
        <w:gridCol w:w="2628"/>
        <w:gridCol w:w="2628"/>
        <w:gridCol w:w="2628"/>
        <w:gridCol w:w="2628"/>
      </w:tblGrid>
      <w:tr>
        <w:tc>
          <w:tcPr>
            <w:tcW w:type="dxa" w:w="1728"/>
          </w:tcPr>
          <w:p>
            <w:pPr>
              <w:spacing w:before="40" w:after="40"/>
            </w:pPr>
            <w:r>
              <w:rPr>
                <w:rFonts w:ascii="Arial" w:hAnsi="Arial"/>
                <w:b/>
                <w:color w:val="475569"/>
                <w:sz w:val="17"/>
              </w:rPr>
              <w:t>Report ID</w:t>
            </w:r>
          </w:p>
        </w:tc>
        <w:tc>
          <w:tcPr>
            <w:tcW w:type="dxa" w:w="3456"/>
          </w:tcPr>
          <w:p>
            <w:pPr>
              <w:spacing w:before="40" w:after="40"/>
            </w:pPr>
            <w:r>
              <w:rPr>
                <w:rFonts w:ascii="Arial" w:hAnsi="Arial"/>
                <w:b w:val="0"/>
                <w:sz w:val="17"/>
              </w:rPr>
              <w:t>ff3e30de2e5d4e76</w:t>
            </w:r>
          </w:p>
        </w:tc>
        <w:tc>
          <w:tcPr>
            <w:tcW w:type="dxa" w:w="1728"/>
          </w:tcPr>
          <w:p>
            <w:pPr>
              <w:spacing w:before="40" w:after="40"/>
            </w:pPr>
            <w:r>
              <w:rPr>
                <w:rFonts w:ascii="Arial" w:hAnsi="Arial"/>
                <w:b/>
                <w:color w:val="475569"/>
                <w:sz w:val="17"/>
              </w:rPr>
              <w:t>Timestamp</w:t>
            </w:r>
          </w:p>
        </w:tc>
        <w:tc>
          <w:tcPr>
            <w:tcW w:type="dxa" w:w="3456"/>
          </w:tcPr>
          <w:p>
            <w:pPr>
              <w:spacing w:before="40" w:after="40"/>
            </w:pPr>
            <w:r>
              <w:rPr>
                <w:rFonts w:ascii="Arial" w:hAnsi="Arial"/>
                <w:b w:val="0"/>
                <w:sz w:val="17"/>
              </w:rPr>
              <w:t>2026-09-07T17:17:36</w:t>
            </w:r>
          </w:p>
        </w:tc>
      </w:tr>
      <w:tr>
        <w:tc>
          <w:tcPr>
            <w:tcW w:type="dxa" w:w="1728"/>
          </w:tcPr>
          <w:p>
            <w:pPr>
              <w:spacing w:before="40" w:after="40"/>
            </w:pPr>
            <w:r>
              <w:rPr>
                <w:rFonts w:ascii="Arial" w:hAnsi="Arial"/>
                <w:b/>
                <w:color w:val="475569"/>
                <w:sz w:val="17"/>
              </w:rPr>
              <w:t>Confidence</w:t>
            </w:r>
          </w:p>
        </w:tc>
        <w:tc>
          <w:tcPr>
            <w:tcW w:type="dxa" w:w="3456"/>
          </w:tcPr>
          <w:p>
            <w:pPr>
              <w:spacing w:before="40" w:after="40"/>
            </w:pPr>
            <w:r>
              <w:rPr>
                <w:rFonts w:ascii="Arial" w:hAnsi="Arial"/>
                <w:b w:val="0"/>
                <w:sz w:val="17"/>
              </w:rPr>
              <w:t>Medium (0.65)</w:t>
            </w:r>
          </w:p>
        </w:tc>
        <w:tc>
          <w:tcPr>
            <w:tcW w:type="dxa" w:w="1728"/>
          </w:tcPr>
          <w:p>
            <w:pPr>
              <w:spacing w:before="40" w:after="40"/>
            </w:pPr>
            <w:r>
              <w:rPr>
                <w:rFonts w:ascii="Arial" w:hAnsi="Arial"/>
                <w:b/>
                <w:color w:val="475569"/>
                <w:sz w:val="17"/>
              </w:rPr>
              <w:t>Images</w:t>
            </w:r>
          </w:p>
        </w:tc>
        <w:tc>
          <w:tcPr>
            <w:tcW w:type="dxa" w:w="3456"/>
          </w:tcPr>
          <w:p>
            <w:pPr>
              <w:spacing w:before="40" w:after="40"/>
            </w:pPr>
            <w:r>
              <w:rPr>
                <w:rFonts w:ascii="Arial" w:hAnsi="Arial"/>
                <w:b w:val="0"/>
                <w:sz w:val="17"/>
              </w:rPr>
              <w:t>2 scene(s)</w:t>
            </w:r>
          </w:p>
        </w:tc>
      </w:tr>
      <w:tr>
        <w:tc>
          <w:tcPr>
            <w:tcW w:type="dxa" w:w="1728"/>
          </w:tcPr>
          <w:p>
            <w:pPr>
              <w:spacing w:before="40" w:after="40"/>
            </w:pPr>
            <w:r>
              <w:rPr>
                <w:rFonts w:ascii="Arial" w:hAnsi="Arial"/>
                <w:b/>
                <w:color w:val="475569"/>
                <w:sz w:val="17"/>
              </w:rPr>
              <w:t>Query</w:t>
            </w:r>
          </w:p>
        </w:tc>
        <w:tc>
          <w:tcPr>
            <w:tcW w:type="dxa" w:w="3456"/>
          </w:tcPr>
          <w:p>
            <w:pPr>
              <w:spacing w:before="40" w:after="40"/>
            </w:pPr>
            <w:r>
              <w:rPr>
                <w:rFonts w:ascii="Arial" w:hAnsi="Arial"/>
                <w:b w:val="0"/>
                <w:sz w:val="17"/>
              </w:rPr>
              <w:t>Execute optical and SAR radar fusion to detect metallic vessels and corner-reflecting infrastructure.</w:t>
            </w:r>
          </w:p>
        </w:tc>
        <w:tc>
          <w:tcPr>
            <w:tcW w:type="dxa" w:w="1728"/>
          </w:tcPr>
          <w:p>
            <w:pPr>
              <w:spacing w:before="40" w:after="40"/>
            </w:pPr>
            <w:r>
              <w:rPr>
                <w:rFonts w:ascii="Arial" w:hAnsi="Arial"/>
                <w:b/>
                <w:color w:val="475569"/>
                <w:sz w:val="17"/>
              </w:rPr>
              <w:t>Evidence</w:t>
            </w:r>
          </w:p>
        </w:tc>
        <w:tc>
          <w:tcPr>
            <w:tcW w:type="dxa" w:w="3456"/>
          </w:tcPr>
          <w:p>
            <w:pPr>
              <w:spacing w:before="40" w:after="40"/>
            </w:pPr>
            <w:r>
              <w:rPr>
                <w:rFonts w:ascii="Arial" w:hAnsi="Arial"/>
                <w:b w:val="0"/>
                <w:sz w:val="17"/>
              </w:rPr>
              <w:t>sar_fusion</w:t>
            </w:r>
          </w:p>
        </w:tc>
      </w:tr>
    </w:tbl>
    <w:p>
      <w:pPr>
        <w:spacing w:after="160"/>
      </w:pPr>
    </w:p>
    <w:p>
      <w:pPr>
        <w:pStyle w:val="Heading2"/>
        <w:spacing w:before="200" w:after="80"/>
      </w:pPr>
      <w:r>
        <w:t>Executive Summary &amp; Findings</w:t>
      </w:r>
    </w:p>
    <w:p>
      <w:pPr>
        <w:spacing w:before="80" w:after="160"/>
        <w:ind w:left="288" w:right="288"/>
      </w:pPr>
      <w:r>
        <w:rPr>
          <w:rFonts w:ascii="Arial" w:hAnsi="Arial"/>
          <w:color w:val="0F172A"/>
          <w:sz w:val="20"/>
        </w:rPr>
        <w:t>{</w:t>
        <w:br/>
        <w:t xml:space="preserve">    "summary": "The fused optical and SAR observations provide a comprehensive view of a major coastal city and its active port. Optical imagery details urban infrastructure and numerous vessels, while SAR backscatter strongly corroborates these features, highlighting metallic structures and ships as high backscatter points against the specularly reflecting water. This multi-sensor intelligence confirms extensive built-up areas and dynamic maritime traffic, enabling robust detection</w:t>
      </w:r>
    </w:p>
    <w:p>
      <w:pPr>
        <w:pStyle w:val="Heading2"/>
        <w:spacing w:before="200" w:after="80"/>
      </w:pPr>
      <w:r>
        <w:t>Visual Evidence Grounding</w:t>
      </w:r>
    </w:p>
    <w:p>
      <w:r>
        <w:drawing>
          <wp:inline xmlns:a="http://schemas.openxmlformats.org/drawingml/2006/main" xmlns:pic="http://schemas.openxmlformats.org/drawingml/2006/picture">
            <wp:extent cx="6217920" cy="2493325"/>
            <wp:docPr id="1" name="Picture 1"/>
            <wp:cNvGraphicFramePr>
              <a:graphicFrameLocks noChangeAspect="1"/>
            </wp:cNvGraphicFramePr>
            <a:graphic>
              <a:graphicData uri="http://schemas.openxmlformats.org/drawingml/2006/picture">
                <pic:pic>
                  <pic:nvPicPr>
                    <pic:cNvPr id="0" name="fusion_f81dfc40e849.png"/>
                    <pic:cNvPicPr/>
                  </pic:nvPicPr>
                  <pic:blipFill>
                    <a:blip r:embed="rId9"/>
                    <a:stretch>
                      <a:fillRect/>
                    </a:stretch>
                  </pic:blipFill>
                  <pic:spPr>
                    <a:xfrm>
                      <a:off x="0" y="0"/>
                      <a:ext cx="6217920" cy="2493325"/>
                    </a:xfrm>
                    <a:prstGeom prst="rect"/>
                  </pic:spPr>
                </pic:pic>
              </a:graphicData>
            </a:graphic>
          </wp:inline>
        </w:drawing>
      </w:r>
    </w:p>
    <w:p>
      <w:pPr>
        <w:spacing w:after="160"/>
      </w:pPr>
      <w:r>
        <w:rPr>
          <w:i/>
          <w:sz w:val="16"/>
        </w:rPr>
        <w:t>Figure: Orthorectified satellite scene with detected spatial features and evidence overlay.</w:t>
      </w:r>
    </w:p>
    <w:p>
      <w:pPr>
        <w:pStyle w:val="Heading2"/>
        <w:spacing w:before="200" w:after="80"/>
      </w:pPr>
      <w:r>
        <w:t>Multi-Angle Satellite Telemetry</w:t>
      </w:r>
    </w:p>
    <w:tbl>
      <w:tblPr>
        <w:tblW w:type="auto" w:w="0"/>
        <w:jc w:val="center"/>
        <w:tblLook w:firstColumn="1" w:firstRow="1" w:lastColumn="0" w:lastRow="0" w:noHBand="0" w:noVBand="1" w:val="04A0"/>
      </w:tblPr>
      <w:tblGrid>
        <w:gridCol w:w="5256"/>
        <w:gridCol w:w="5256"/>
      </w:tblGrid>
      <w:tr>
        <w:tc>
          <w:tcPr>
            <w:tcW w:type="dxa" w:w="2592"/>
          </w:tcPr>
          <w:p>
            <w:r>
              <w:rPr>
                <w:rFonts w:ascii="Arial" w:hAnsi="Arial"/>
                <w:b/>
                <w:sz w:val="17"/>
              </w:rPr>
              <w:t>Scene Overview</w:t>
            </w:r>
          </w:p>
        </w:tc>
        <w:tc>
          <w:tcPr>
            <w:tcW w:type="dxa" w:w="7776"/>
          </w:tcPr>
          <w:p>
            <w:r>
              <w:rPr>
                <w:rFonts w:ascii="Arial" w:hAnsi="Arial"/>
                <w:sz w:val="17"/>
              </w:rPr>
              <w:t>{</w:t>
              <w:br/>
              <w:t xml:space="preserve">    "summary": "The fused optical and SAR observations provide a comprehensive view of a major coastal city and its active port. Optical imagery details urban infrastructure and numerous vessels, while SAR backscatter strongly corroborates these features, highlighting metallic structures and ships as high backscatter points against the specularly reflecting water. This multi-sensor intelligence confirms extensive built-up areas and dynamic maritime traffic, enabling robust detection</w:t>
            </w:r>
          </w:p>
        </w:tc>
      </w:tr>
      <w:tr>
        <w:tc>
          <w:tcPr>
            <w:tcW w:type="dxa" w:w="2592"/>
          </w:tcPr>
          <w:p>
            <w:r>
              <w:rPr>
                <w:rFonts w:ascii="Arial" w:hAnsi="Arial"/>
                <w:b/>
                <w:sz w:val="17"/>
              </w:rPr>
              <w:t>Land Cover (LULC)</w:t>
            </w:r>
          </w:p>
        </w:tc>
        <w:tc>
          <w:tcPr>
            <w:tcW w:type="dxa" w:w="7776"/>
          </w:tcPr>
          <w:p>
            <w:r>
              <w:rPr>
                <w:rFonts w:ascii="Arial" w:hAnsi="Arial"/>
                <w:sz w:val="17"/>
              </w:rPr>
              <w:t>General remote sensing scene</w:t>
            </w:r>
          </w:p>
        </w:tc>
      </w:tr>
      <w:tr>
        <w:tc>
          <w:tcPr>
            <w:tcW w:type="dxa" w:w="2592"/>
          </w:tcPr>
          <w:p>
            <w:r>
              <w:rPr>
                <w:rFonts w:ascii="Arial" w:hAnsi="Arial"/>
                <w:b/>
                <w:sz w:val="17"/>
              </w:rPr>
              <w:t>Key Spatial Features</w:t>
            </w:r>
          </w:p>
        </w:tc>
        <w:tc>
          <w:tcPr>
            <w:tcW w:type="dxa" w:w="7776"/>
          </w:tcPr>
          <w:p>
            <w:r>
              <w:rPr>
                <w:rFonts w:ascii="Arial" w:hAnsi="Arial"/>
                <w:sz w:val="17"/>
              </w:rPr>
              <w:t>N/A</w:t>
            </w:r>
          </w:p>
        </w:tc>
      </w:tr>
      <w:tr>
        <w:tc>
          <w:tcPr>
            <w:tcW w:type="dxa" w:w="2592"/>
          </w:tcPr>
          <w:p>
            <w:r>
              <w:rPr>
                <w:rFonts w:ascii="Arial" w:hAnsi="Arial"/>
                <w:b/>
                <w:sz w:val="17"/>
              </w:rPr>
              <w:t>Spatial Configuration</w:t>
            </w:r>
          </w:p>
        </w:tc>
        <w:tc>
          <w:tcPr>
            <w:tcW w:type="dxa" w:w="7776"/>
          </w:tcPr>
          <w:p>
            <w:r>
              <w:rPr>
                <w:rFonts w:ascii="Arial" w:hAnsi="Arial"/>
                <w:sz w:val="17"/>
              </w:rPr>
              <w:t>Standard geographic layout</w:t>
            </w:r>
          </w:p>
        </w:tc>
      </w:tr>
      <w:tr>
        <w:tc>
          <w:tcPr>
            <w:tcW w:type="dxa" w:w="2592"/>
          </w:tcPr>
          <w:p>
            <w:r>
              <w:rPr>
                <w:rFonts w:ascii="Arial" w:hAnsi="Arial"/>
                <w:b/>
                <w:sz w:val="17"/>
              </w:rPr>
              <w:t>Spectral Indicators</w:t>
            </w:r>
          </w:p>
        </w:tc>
        <w:tc>
          <w:tcPr>
            <w:tcW w:type="dxa" w:w="7776"/>
          </w:tcPr>
          <w:p>
            <w:r>
              <w:rPr>
                <w:rFonts w:ascii="Arial" w:hAnsi="Arial"/>
                <w:sz w:val="17"/>
              </w:rPr>
              <w:t>Visible optical spectrum</w:t>
            </w:r>
          </w:p>
        </w:tc>
      </w:tr>
      <w:tr>
        <w:tc>
          <w:tcPr>
            <w:tcW w:type="dxa" w:w="2592"/>
          </w:tcPr>
          <w:p>
            <w:r>
              <w:rPr>
                <w:rFonts w:ascii="Arial" w:hAnsi="Arial"/>
                <w:b/>
                <w:sz w:val="17"/>
              </w:rPr>
              <w:t>Risk Assessment</w:t>
            </w:r>
          </w:p>
        </w:tc>
        <w:tc>
          <w:tcPr>
            <w:tcW w:type="dxa" w:w="7776"/>
          </w:tcPr>
          <w:p>
            <w:r>
              <w:rPr>
                <w:rFonts w:ascii="Arial" w:hAnsi="Arial"/>
                <w:sz w:val="17"/>
              </w:rPr>
              <w:t>No critical hazards detected</w:t>
            </w:r>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