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6.1: Random Block Effect vs Paired t-test</w:t>
      </w:r>
    </w:p>
    <w:p>
      <w:pPr>
        <w:pStyle w:val="Subtitle"/>
      </w:pPr>
      <w:r>
        <w:t xml:space="preserve">Color Interference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numPr>
                <w:ilvl w:val="0"/>
                <w:numId w:val="1001"/>
              </w:numPr>
            </w:pPr>
            <w:r>
              <w:t xml:space="preserve">Submit via Gradescope, don’t forget to assign pages to the questions in the outline!</w:t>
            </w:r>
          </w:p>
          <w:p>
            <w:pPr>
              <w:numPr>
                <w:ilvl w:val="0"/>
                <w:numId w:val="1001"/>
              </w:numPr>
            </w:pPr>
            <w:r>
              <w:t xml:space="preserve">Delete any extraneous instructions (</w:t>
            </w:r>
            <w:r>
              <w:rPr>
                <w:b/>
                <w:bCs/>
              </w:rPr>
              <w:t xml:space="preserve">like this box</w:t>
            </w:r>
            <w:r>
              <w:t xml:space="preserve">) before submission.</w:t>
            </w:r>
            <w:r>
              <w:t xml:space="preserve"> </w:t>
            </w:r>
            <w:r>
              <w:rPr>
                <w:i/>
                <w:iCs/>
              </w:rPr>
              <w:t xml:space="preserve">You will be deducted points from now on if you do not follow this instruction!</w:t>
            </w:r>
          </w:p>
          <w:p>
            <w:pPr>
              <w:numPr>
                <w:ilvl w:val="0"/>
                <w:numId w:val="1001"/>
              </w:numPr>
            </w:pPr>
            <w:r>
              <w:t xml:space="preserve">Remember that it’s okay if you cannot get the .qmd to render to submit this!! I will help you but you can also use any of the other formats.</w:t>
            </w:r>
          </w:p>
          <w:p>
            <w:pPr>
              <w:numPr>
                <w:ilvl w:val="0"/>
                <w:numId w:val="1001"/>
              </w:numPr>
            </w:pPr>
            <w:r>
              <w:t xml:space="preserve">You should follow the qmd template for coding:</w:t>
            </w:r>
            <w:r>
              <w:t xml:space="preserve"> </w:t>
            </w:r>
            <w:hyperlink r:id="rId12">
              <w:r>
                <w:rPr>
                  <w:rStyle w:val="Hyperlink"/>
                </w:rPr>
                <w:t xml:space="preserve">06.1-activity-color-interference.qmd</w:t>
              </w:r>
            </w:hyperlink>
          </w:p>
          <w:p>
            <w:pPr>
              <w:numPr>
                <w:ilvl w:val="0"/>
                <w:numId w:val="1001"/>
              </w:numPr>
            </w:pPr>
            <w:r>
              <w:t xml:space="preserve">You can download the data on Canvas or here:</w:t>
            </w:r>
          </w:p>
          <w:p>
            <w:pPr>
              <w:pStyle w:val="Compact"/>
              <w:numPr>
                <w:ilvl w:val="1"/>
                <w:numId w:val="1002"/>
              </w:numPr>
            </w:pPr>
            <w:r>
              <w:rPr>
                <w:b/>
                <w:bCs/>
              </w:rPr>
              <w:t xml:space="preserve">wide</w:t>
            </w:r>
            <w:r>
              <w:t xml:space="preserve">:</w:t>
            </w:r>
            <w:r>
              <w:t xml:space="preserve"> </w:t>
            </w:r>
            <w:hyperlink r:id="rId13">
              <w:r>
                <w:rPr>
                  <w:rStyle w:val="Hyperlink"/>
                </w:rPr>
                <w:t xml:space="preserve">06-color-interference-wide.csv</w:t>
              </w:r>
            </w:hyperlink>
          </w:p>
          <w:p>
            <w:pPr>
              <w:pStyle w:val="Compact"/>
              <w:numPr>
                <w:ilvl w:val="1"/>
                <w:numId w:val="1002"/>
              </w:numPr>
            </w:pPr>
            <w:r>
              <w:rPr>
                <w:b/>
                <w:bCs/>
              </w:rPr>
              <w:t xml:space="preserve">long</w:t>
            </w:r>
            <w:r>
              <w:t xml:space="preserve">:</w:t>
            </w:r>
            <w:r>
              <w:t xml:space="preserve"> </w:t>
            </w:r>
            <w:hyperlink r:id="rId14">
              <w:r>
                <w:rPr>
                  <w:rStyle w:val="Hyperlink"/>
                </w:rPr>
                <w:t xml:space="preserve">06-color-interference-long.csv</w:t>
              </w:r>
            </w:hyperlink>
          </w:p>
          <w:p/>
        </w:tc>
      </w:tr>
    </w:tbl>
    <w:p>
      <w:pPr>
        <w:pStyle w:val="FirstParagraph"/>
      </w:pPr>
      <w:r>
        <w:t xml:space="preserve">The abstract of the article</w:t>
      </w:r>
      <w:r>
        <w:t xml:space="preserve"> </w:t>
      </w:r>
      <w:r>
        <w:rPr>
          <w:i/>
          <w:iCs/>
        </w:rPr>
        <w:t xml:space="preserve">Studies of interference in serial verbal reactions</w:t>
      </w:r>
      <w:r>
        <w:t xml:space="preserve"> </w:t>
      </w:r>
      <w:r>
        <w:t xml:space="preserve">in the Journal of Experimental Psychology</w:t>
      </w:r>
      <w:r>
        <w:rPr>
          <w:rStyle w:val="FootnoteReference"/>
        </w:rPr>
        <w:footnoteReference w:id="15"/>
      </w:r>
      <w:r>
        <w:t xml:space="preserve"> </w:t>
      </w:r>
      <w:r>
        <w:t xml:space="preserve">reads:</w:t>
      </w:r>
    </w:p>
    <w:p>
      <w:pPr>
        <w:pStyle w:val="BlockText"/>
      </w:pPr>
      <w:r>
        <w:t xml:space="preserve">In this study pairs of conflicting stimuli, both being inherent aspects of the same symbols, were presented simultaneously (a name of one color printed in the ink of another color—a word stimulus and a color stimulus). The difference in time for reading the words printed in colors and the same words printed in black is the measure of interference of color stimuli upon reading words. The interference of conflicting color stimuli upon the time for reading 100 words (each word naming a color unlike the ink-color of its print) caused an increase of 2.3 seconds or 5.6% over the normal time for reading the same words printed in black.</w:t>
      </w:r>
    </w:p>
    <w:p>
      <w:pPr>
        <w:pStyle w:val="FirstParagraph"/>
      </w:pPr>
      <w:r>
        <w:t xml:space="preserve">The article reports on the results of a study in which seventy college undergraduates were given forms with 100 names of colors written in black ink, and the same 100 names of colors written in another color (i.e., the word purple written in green ink). The total time (in seconds) for</w:t>
      </w:r>
      <w:r>
        <w:t xml:space="preserve"> </w:t>
      </w:r>
      <w:r>
        <w:t xml:space="preserve">reading the 100 words printed in black, and the total time (in seconds) for reading the 100 words printed in different colors were recorded for each subject. The order in which the forms (black or color) were given was randomized to the subjects.</w:t>
      </w:r>
    </w:p>
    <w:bookmarkStart w:id="19" w:name="part-a-study-data"/>
    <w:p>
      <w:pPr>
        <w:pStyle w:val="Heading2"/>
      </w:pPr>
      <w:r>
        <w:t xml:space="preserve">Part A: Study Data</w:t>
      </w:r>
    </w:p>
    <w:bookmarkStart w:id="17" w:name="read-in-the-data"/>
    <w:p>
      <w:pPr>
        <w:pStyle w:val="Heading3"/>
      </w:pPr>
      <w:r>
        <w:t xml:space="preserve">1. Read in the data</w:t>
      </w:r>
    </w:p>
    <w:p>
      <w:pPr>
        <w:pStyle w:val="FirstParagraph"/>
      </w:pPr>
      <w:r>
        <w:t xml:space="preserve">Remember you need to add the correct file path for how you have things set up in the code provided!</w:t>
      </w:r>
    </w:p>
    <w:p>
      <w:pPr>
        <w:pStyle w:val="SourceCode"/>
      </w:pPr>
      <w:r>
        <w:rPr>
          <w:rStyle w:val="CommentTok"/>
        </w:rPr>
        <w:t xml:space="preserve"># read in wide and long data</w:t>
      </w:r>
      <w:r>
        <w:br/>
      </w:r>
      <w:r>
        <w:rPr>
          <w:rStyle w:val="CommentTok"/>
        </w:rPr>
        <w:t xml:space="preserve"># Remember, you need to add in the correct file paths in the ""!</w:t>
      </w:r>
      <w:r>
        <w:br/>
      </w:r>
      <w:r>
        <w:br/>
      </w:r>
      <w:r>
        <w:rPr>
          <w:rStyle w:val="NormalTok"/>
        </w:rPr>
        <w:t xml:space="preserve">color_dat_wide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subj =</w:t>
      </w:r>
      <w:r>
        <w:rPr>
          <w:rStyle w:val="NormalTok"/>
        </w:rPr>
        <w:t xml:space="preserve"> </w:t>
      </w:r>
      <w:r>
        <w:rPr>
          <w:rStyle w:val="FunctionTok"/>
        </w:rPr>
        <w:t xml:space="preserve">factor</w:t>
      </w:r>
      <w:r>
        <w:rPr>
          <w:rStyle w:val="NormalTok"/>
        </w:rPr>
        <w:t xml:space="preserve">(subj))</w:t>
      </w:r>
      <w:r>
        <w:br/>
      </w:r>
      <w:r>
        <w:br/>
      </w:r>
      <w:r>
        <w:rPr>
          <w:rStyle w:val="NormalTok"/>
        </w:rPr>
        <w:t xml:space="preserve">color_dat_long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subj =</w:t>
      </w:r>
      <w:r>
        <w:rPr>
          <w:rStyle w:val="NormalTok"/>
        </w:rPr>
        <w:t xml:space="preserve"> </w:t>
      </w:r>
      <w:r>
        <w:rPr>
          <w:rStyle w:val="FunctionTok"/>
        </w:rPr>
        <w:t xml:space="preserve">factor</w:t>
      </w:r>
      <w:r>
        <w:rPr>
          <w:rStyle w:val="NormalTok"/>
        </w:rPr>
        <w:t xml:space="preserve">(subj),</w:t>
      </w:r>
      <w:r>
        <w:br/>
      </w:r>
      <w:r>
        <w:rPr>
          <w:rStyle w:val="NormalTok"/>
        </w:rPr>
        <w:t xml:space="preserve">         </w:t>
      </w:r>
      <w:r>
        <w:rPr>
          <w:rStyle w:val="AttributeTok"/>
        </w:rPr>
        <w:t xml:space="preserve">text_color =</w:t>
      </w:r>
      <w:r>
        <w:rPr>
          <w:rStyle w:val="NormalTok"/>
        </w:rPr>
        <w:t xml:space="preserve"> </w:t>
      </w:r>
      <w:r>
        <w:rPr>
          <w:rStyle w:val="FunctionTok"/>
        </w:rPr>
        <w:t xml:space="preserve">factor</w:t>
      </w:r>
      <w:r>
        <w:rPr>
          <w:rStyle w:val="NormalTok"/>
        </w:rPr>
        <w:t xml:space="preserve">(text_color))</w:t>
      </w:r>
    </w:p>
    <w:bookmarkEnd w:id="17"/>
    <w:bookmarkStart w:id="18" w:name="take-a-look-at-the-data-in-r"/>
    <w:p>
      <w:pPr>
        <w:pStyle w:val="Heading3"/>
      </w:pPr>
      <w:r>
        <w:t xml:space="preserve">2. Take a look at the data in R</w:t>
      </w:r>
    </w:p>
    <w:p>
      <w:pPr>
        <w:pStyle w:val="FirstParagraph"/>
      </w:pPr>
      <w:r>
        <w:t xml:space="preserve">What are the differences between the wide and the long version of the data?</w:t>
      </w:r>
      <w:r>
        <w:t xml:space="preserve"> </w:t>
      </w:r>
      <w:r>
        <w:rPr>
          <w:b/>
          <w:bCs/>
        </w:rPr>
        <w:t xml:space="preserve">Fill in the prompts below:</w:t>
      </w:r>
    </w:p>
    <w:p>
      <w:pPr>
        <w:pStyle w:val="BodyText"/>
      </w:pPr>
      <w:r>
        <w:rPr>
          <w:b/>
          <w:bCs/>
        </w:rPr>
        <w:t xml:space="preserve">Wide data</w:t>
      </w:r>
    </w:p>
    <w:p>
      <w:pPr>
        <w:pStyle w:val="Compact"/>
        <w:numPr>
          <w:ilvl w:val="0"/>
          <w:numId w:val="1003"/>
        </w:numPr>
      </w:pPr>
      <w:r>
        <w:t xml:space="preserve">observational unit (i.e. one row):</w:t>
      </w:r>
    </w:p>
    <w:p>
      <w:pPr>
        <w:pStyle w:val="Compact"/>
        <w:numPr>
          <w:ilvl w:val="0"/>
          <w:numId w:val="1003"/>
        </w:numPr>
      </w:pPr>
      <w:r>
        <w:t xml:space="preserve">What does one value in the</w:t>
      </w:r>
      <w:r>
        <w:t xml:space="preserve"> </w:t>
      </w:r>
      <w:r>
        <w:rPr>
          <w:rStyle w:val="VerbatimChar"/>
        </w:rPr>
        <w:t xml:space="preserve">black</w:t>
      </w:r>
      <w:r>
        <w:t xml:space="preserve"> </w:t>
      </w:r>
      <w:r>
        <w:t xml:space="preserve">column represent?:</w:t>
      </w:r>
    </w:p>
    <w:p>
      <w:pPr>
        <w:pStyle w:val="Compact"/>
        <w:numPr>
          <w:ilvl w:val="0"/>
          <w:numId w:val="1003"/>
        </w:numPr>
      </w:pPr>
      <w:r>
        <w:t xml:space="preserve">What does one value in the</w:t>
      </w:r>
      <w:r>
        <w:t xml:space="preserve"> </w:t>
      </w:r>
      <w:r>
        <w:rPr>
          <w:rStyle w:val="VerbatimChar"/>
        </w:rPr>
        <w:t xml:space="preserve">color</w:t>
      </w:r>
      <w:r>
        <w:t xml:space="preserve"> </w:t>
      </w:r>
      <w:r>
        <w:t xml:space="preserve">column represent?:</w:t>
      </w:r>
    </w:p>
    <w:p>
      <w:pPr>
        <w:pStyle w:val="Compact"/>
        <w:numPr>
          <w:ilvl w:val="0"/>
          <w:numId w:val="1003"/>
        </w:numPr>
      </w:pPr>
      <w:r>
        <w:t xml:space="preserve">What does one value in the</w:t>
      </w:r>
      <w:r>
        <w:t xml:space="preserve"> </w:t>
      </w:r>
      <w:r>
        <w:rPr>
          <w:rStyle w:val="VerbatimChar"/>
        </w:rPr>
        <w:t xml:space="preserve">difference</w:t>
      </w:r>
      <w:r>
        <w:t xml:space="preserve"> </w:t>
      </w:r>
      <w:r>
        <w:t xml:space="preserve">column represent?:</w:t>
      </w:r>
    </w:p>
    <w:p>
      <w:pPr>
        <w:pStyle w:val="FirstParagraph"/>
      </w:pPr>
      <w:r>
        <w:rPr>
          <w:b/>
          <w:bCs/>
        </w:rPr>
        <w:t xml:space="preserve">Long data</w:t>
      </w:r>
    </w:p>
    <w:p>
      <w:pPr>
        <w:pStyle w:val="Compact"/>
        <w:numPr>
          <w:ilvl w:val="0"/>
          <w:numId w:val="1004"/>
        </w:numPr>
      </w:pPr>
      <w:r>
        <w:t xml:space="preserve">observational unit (i.e. one row):</w:t>
      </w:r>
    </w:p>
    <w:p>
      <w:pPr>
        <w:pStyle w:val="Compact"/>
        <w:numPr>
          <w:ilvl w:val="0"/>
          <w:numId w:val="1004"/>
        </w:numPr>
      </w:pPr>
      <w:r>
        <w:t xml:space="preserve">What is the</w:t>
      </w:r>
      <w:r>
        <w:t xml:space="preserve"> </w:t>
      </w:r>
      <w:r>
        <w:rPr>
          <w:rStyle w:val="VerbatimChar"/>
        </w:rPr>
        <w:t xml:space="preserve">text_color</w:t>
      </w:r>
      <w:r>
        <w:t xml:space="preserve"> </w:t>
      </w:r>
      <w:r>
        <w:t xml:space="preserve">column?:</w:t>
      </w:r>
    </w:p>
    <w:p>
      <w:pPr>
        <w:pStyle w:val="Compact"/>
        <w:numPr>
          <w:ilvl w:val="0"/>
          <w:numId w:val="1004"/>
        </w:numPr>
      </w:pPr>
      <w:r>
        <w:t xml:space="preserve">What does one value in the</w:t>
      </w:r>
      <w:r>
        <w:t xml:space="preserve"> </w:t>
      </w:r>
      <w:r>
        <w:rPr>
          <w:rStyle w:val="VerbatimChar"/>
        </w:rPr>
        <w:t xml:space="preserve">time_seconds</w:t>
      </w:r>
      <w:r>
        <w:t xml:space="preserve"> </w:t>
      </w:r>
      <w:r>
        <w:t xml:space="preserve">column represent?:</w:t>
      </w:r>
    </w:p>
    <w:bookmarkEnd w:id="18"/>
    <w:bookmarkEnd w:id="19"/>
    <w:bookmarkStart w:id="24" w:name="part-b-paired-t-test"/>
    <w:p>
      <w:pPr>
        <w:pStyle w:val="Heading2"/>
      </w:pPr>
      <w:r>
        <w:t xml:space="preserve">Part B: Paired t-test</w:t>
      </w:r>
    </w:p>
    <w:bookmarkStart w:id="23" w:name="Xf7704204537cd23eefa6f1ecd59fc7af427925c"/>
    <w:p>
      <w:pPr>
        <w:pStyle w:val="Heading3"/>
      </w:pPr>
      <w:r>
        <w:t xml:space="preserve">3. Using the skills from your Stat I/II course, conduct and interpret a paired t-test.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Paired t-test in R</w:t>
            </w:r>
          </w:p>
        </w:tc>
      </w:tr>
      <w:tr>
        <w:trPr>
          <w:cantSplit/>
        </w:trPr>
        <w:tc>
          <w:tcPr>
            <w:tcMar>
              <w:top w:w="108" w:type="dxa"/>
              <w:bottom w:w="108" w:type="dxa"/>
            </w:tcMar>
          </w:tcPr>
          <w:p>
            <w:pPr>
              <w:pStyle w:val="BodyText"/>
            </w:pPr>
            <w:pPr>
              <w:spacing w:before="16"/>
            </w:pPr>
            <w:r>
              <w:t xml:space="preserve">Most of you probably have not conducted this analysis in R! There are two ways to do it, which will get you the same answer!</w:t>
            </w:r>
          </w:p>
          <w:p>
            <w:pPr>
              <w:pStyle w:val="BodyText"/>
            </w:pPr>
            <w:r>
              <w:t xml:space="preserve">You will want to use</w:t>
            </w:r>
            <w:r>
              <w:t xml:space="preserve"> </w:t>
            </w:r>
            <w:r>
              <w:rPr>
                <w:b/>
                <w:bCs/>
              </w:rPr>
              <w:t xml:space="preserve">wide</w:t>
            </w:r>
            <w:r>
              <w:t xml:space="preserve"> </w:t>
            </w:r>
            <w:r>
              <w:t xml:space="preserve">data for this.</w:t>
            </w:r>
          </w:p>
          <w:p>
            <w:pPr>
              <w:pStyle w:val="Compact"/>
              <w:numPr>
                <w:ilvl w:val="0"/>
                <w:numId w:val="1005"/>
              </w:numPr>
            </w:pPr>
            <w:r>
              <w:rPr>
                <w:rStyle w:val="VerbatimChar"/>
              </w:rPr>
              <w:t xml:space="preserve">pair_test &lt;- t.test(wide_data$dif_var)</w:t>
            </w:r>
          </w:p>
          <w:p>
            <w:pPr>
              <w:pStyle w:val="Compact"/>
              <w:numPr>
                <w:ilvl w:val="0"/>
                <w:numId w:val="1005"/>
              </w:numPr>
            </w:pPr>
            <w:r>
              <w:rPr>
                <w:rStyle w:val="VerbatimChar"/>
              </w:rPr>
              <w:t xml:space="preserve">pair_test &lt;- t.test(wide_data$resp1, wide_data$resp2, paired = T)</w:t>
            </w:r>
          </w:p>
          <w:p>
            <w:pPr>
              <w:pStyle w:val="FirstParagraph"/>
            </w:pPr>
            <w:r>
              <w:t xml:space="preserve">(You should be able to figure out why both work based on your previous stat classes.)</w:t>
            </w:r>
          </w:p>
          <w:p>
            <w:pPr>
              <w:pStyle w:val="BodyText"/>
            </w:pPr>
            <w:r>
              <w:t xml:space="preserve">To get the standard error estimate:</w:t>
            </w:r>
          </w:p>
          <w:p>
            <w:pPr>
              <w:pStyle w:val="BodyText"/>
            </w:pPr>
            <w:pPr>
              <w:spacing w:after="16"/>
            </w:pPr>
            <w:r>
              <w:rPr>
                <w:rStyle w:val="VerbatimChar"/>
              </w:rPr>
              <w:t xml:space="preserve">pair_test$stderr</w:t>
            </w:r>
          </w:p>
          <w:p/>
        </w:tc>
      </w:tr>
    </w:tbl>
    <w:p>
      <w:pPr>
        <w:pStyle w:val="SourceCode"/>
      </w:pPr>
      <w:r>
        <w:rPr>
          <w:rStyle w:val="CommentTok"/>
        </w:rPr>
        <w:t xml:space="preserve"># paired t-test code here using wide data (color_dat_wide)</w:t>
      </w:r>
    </w:p>
    <w:p>
      <w:pPr>
        <w:pStyle w:val="FirstParagraph"/>
      </w:pPr>
      <w:r>
        <w:t xml:space="preserve">Report the following:</w:t>
      </w:r>
    </w:p>
    <w:p>
      <w:pPr>
        <w:numPr>
          <w:ilvl w:val="0"/>
          <w:numId w:val="1006"/>
        </w:numPr>
      </w:pPr>
      <w:r>
        <w:t xml:space="preserve">Supporting evidence: t = __________; df = ________; p = __________)</w:t>
      </w:r>
    </w:p>
    <w:p>
      <w:pPr>
        <w:numPr>
          <w:ilvl w:val="0"/>
          <w:numId w:val="1006"/>
        </w:numPr>
      </w:pPr>
      <w:r>
        <w:t xml:space="preserve">Estimated mean difference in time (</w:t>
      </w:r>
      <m:oMath>
        <m:sSub>
          <m:e>
            <m:r>
              <m:t>μ</m:t>
            </m:r>
          </m:e>
          <m:sub>
            <m:r>
              <m:rPr>
                <m:nor/>
                <m:sty m:val="p"/>
              </m:rPr>
              <m:t>black text - color text</m:t>
            </m:r>
          </m:sub>
        </m:sSub>
      </m:oMath>
      <w:r>
        <w:t xml:space="preserve">): __________________</w:t>
      </w:r>
    </w:p>
    <w:p>
      <w:pPr>
        <w:numPr>
          <w:ilvl w:val="0"/>
          <w:numId w:val="1006"/>
        </w:numPr>
      </w:pPr>
      <w:r>
        <w:t xml:space="preserve">Estimated standard error of the mean difference in time: _____________________</w:t>
      </w:r>
    </w:p>
    <w:bookmarkEnd w:id="23"/>
    <w:bookmarkEnd w:id="24"/>
    <w:bookmarkStart w:id="27" w:name="part-c-study-design"/>
    <w:p>
      <w:pPr>
        <w:pStyle w:val="Heading2"/>
      </w:pPr>
      <w:r>
        <w:t xml:space="preserve">Part C: Study Design</w:t>
      </w:r>
    </w:p>
    <w:bookmarkStart w:id="25" w:name="X0af67a88f4744c4cfe5b3fe1ccb217f53ecb67f"/>
    <w:p>
      <w:pPr>
        <w:pStyle w:val="Heading3"/>
      </w:pPr>
      <w:r>
        <w:t xml:space="preserve">4. Thinking about this in the experimental design framework, draw a blueprint and identify the treatment and design structures.</w:t>
      </w:r>
    </w:p>
    <w:p>
      <w:pPr>
        <w:numPr>
          <w:ilvl w:val="0"/>
          <w:numId w:val="1007"/>
        </w:numPr>
      </w:pPr>
      <w:r>
        <w:t xml:space="preserve">Blueprint:</w:t>
      </w:r>
    </w:p>
    <w:p>
      <w:pPr>
        <w:numPr>
          <w:ilvl w:val="0"/>
          <w:numId w:val="1007"/>
        </w:numPr>
      </w:pPr>
      <w:r>
        <w:t xml:space="preserve">Treatment structure:</w:t>
      </w:r>
    </w:p>
    <w:p>
      <w:pPr>
        <w:numPr>
          <w:ilvl w:val="0"/>
          <w:numId w:val="1007"/>
        </w:numPr>
      </w:pPr>
      <w:r>
        <w:t xml:space="preserve">Design structure:</w:t>
      </w:r>
    </w:p>
    <w:bookmarkEnd w:id="25"/>
    <w:bookmarkStart w:id="26" w:name="Xab13325bda53c23e6aa60fcdea98c55e6767da3"/>
    <w:p>
      <w:pPr>
        <w:pStyle w:val="Heading3"/>
      </w:pPr>
      <w:r>
        <w:t xml:space="preserve">5. Why is it important the researchers randomized the order in which the forms (black or different color) were given to subjects?</w:t>
      </w:r>
    </w:p>
    <w:bookmarkEnd w:id="26"/>
    <w:bookmarkEnd w:id="27"/>
    <w:bookmarkStart w:id="35" w:name="part-d-linear-mixed-model"/>
    <w:p>
      <w:pPr>
        <w:pStyle w:val="Heading2"/>
      </w:pPr>
      <w:r>
        <w:t xml:space="preserve">Part D: Linear Mixed Model</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Use the</w:t>
            </w:r>
            <w:r>
              <w:t xml:space="preserve"> </w:t>
            </w:r>
            <w:r>
              <w:rPr>
                <w:b/>
                <w:bCs/>
              </w:rPr>
              <w:t xml:space="preserve">long</w:t>
            </w:r>
            <w:r>
              <w:t xml:space="preserve"> </w:t>
            </w:r>
            <w:r>
              <w:t xml:space="preserve">data</w:t>
            </w:r>
            <w:r>
              <w:t xml:space="preserve"> </w:t>
            </w:r>
            <w:r>
              <w:rPr>
                <w:rStyle w:val="VerbatimChar"/>
              </w:rPr>
              <w:t xml:space="preserve">color_dat_long</w:t>
            </w:r>
            <w:r>
              <w:t xml:space="preserve"> </w:t>
            </w:r>
            <w:r>
              <w:t xml:space="preserve">for the rest of the assignment.</w:t>
            </w:r>
          </w:p>
          <w:p/>
        </w:tc>
      </w:tr>
    </w:tbl>
    <w:bookmarkStart w:id="31" w:name="X0c303b67c39e92ebb82980ba94ea2481ca66c80"/>
    <w:p>
      <w:pPr>
        <w:pStyle w:val="Heading3"/>
      </w:pPr>
      <w:r>
        <w:t xml:space="preserve">6. Define the statistical effects model in context.</w:t>
      </w:r>
    </w:p>
    <w:p>
      <w:pPr>
        <w:pStyle w:val="FirstParagraph"/>
      </w:pPr>
      <w:r>
        <w:t xml:space="preserve">Based on your treatment and design structure above, fill in the below to define the parameters and random variables given in the statistical effects model in the context of this study. Also indicate what values the indices can take.</w:t>
      </w:r>
    </w:p>
    <w:p>
      <w:pPr>
        <w:pStyle w:val="BodyText"/>
      </w:pPr>
      <m:oMathPara>
        <m:oMathParaPr>
          <m:jc m:val="center"/>
        </m:oMathParaPr>
        <m:oMath>
          <m:sSub>
            <m:e>
              <m:r>
                <m:t>y</m:t>
              </m:r>
            </m:e>
            <m:sub>
              <m:r>
                <m:t>i</m:t>
              </m:r>
              <m:r>
                <m:t>m</m:t>
              </m:r>
            </m:sub>
          </m:sSub>
          <m:r>
            <m:rPr>
              <m:sty m:val="p"/>
            </m:rPr>
            <m:t>=</m:t>
          </m:r>
          <m:r>
            <m:t>μ</m:t>
          </m:r>
          <m:r>
            <m:rPr>
              <m:sty m:val="p"/>
            </m:rPr>
            <m:t>+</m:t>
          </m:r>
          <m:sSub>
            <m:e>
              <m:r>
                <m:t>τ</m:t>
              </m:r>
            </m:e>
            <m:sub>
              <m:r>
                <m:t>i</m:t>
              </m:r>
            </m:sub>
          </m:sSub>
          <m:r>
            <m:rPr>
              <m:sty m:val="p"/>
            </m:rPr>
            <m:t>+</m:t>
          </m:r>
          <m:sSub>
            <m:e>
              <m:r>
                <m:t>p</m:t>
              </m:r>
            </m:e>
            <m:sub>
              <m:r>
                <m:t>m</m:t>
              </m:r>
            </m:sub>
          </m:sSub>
          <m:r>
            <m:rPr>
              <m:sty m:val="p"/>
            </m:rPr>
            <m:t>+</m:t>
          </m:r>
          <m:sSub>
            <m:e>
              <m:r>
                <m:t>ϵ</m:t>
              </m:r>
            </m:e>
            <m:sub>
              <m:r>
                <m:t>i</m:t>
              </m:r>
              <m:r>
                <m:t>m</m:t>
              </m:r>
            </m:sub>
          </m:sSub>
          <m:r>
            <m:rPr>
              <m:nor/>
              <m:sty m:val="p"/>
            </m:rPr>
            <m:t> where </m:t>
          </m:r>
          <m:sSub>
            <m:e>
              <m:r>
                <m:t>p</m:t>
              </m:r>
            </m:e>
            <m:sub>
              <m:r>
                <m:t>m</m:t>
              </m:r>
            </m:sub>
          </m:sSub>
          <m:limUpp>
            <m:e>
              <m:r>
                <m:rPr>
                  <m:sty m:val="p"/>
                </m:rPr>
                <m:t>∼</m:t>
              </m:r>
            </m:e>
            <m:lim>
              <m:r>
                <m:t>i</m:t>
              </m:r>
              <m:r>
                <m:t>i</m:t>
              </m:r>
              <m:r>
                <m:t>d</m:t>
              </m:r>
            </m:lim>
          </m:limUpp>
          <m:r>
            <m:t>N</m:t>
          </m:r>
          <m:r>
            <m:rPr>
              <m:sty m:val="p"/>
            </m:rPr>
            <m:t>(</m:t>
          </m:r>
          <m:r>
            <m:t>0</m:t>
          </m:r>
          <m:r>
            <m:rPr>
              <m:sty m:val="p"/>
            </m:rPr>
            <m:t>,</m:t>
          </m:r>
          <m:sSubSup>
            <m:e>
              <m:r>
                <m:t>σ</m:t>
              </m:r>
            </m:e>
            <m:sub>
              <m:r>
                <m:t>b</m:t>
              </m:r>
              <m:r>
                <m:t>l</m:t>
              </m:r>
              <m:r>
                <m:t>k</m:t>
              </m:r>
            </m:sub>
            <m:sup>
              <m:r>
                <m:t>2</m:t>
              </m:r>
            </m:sup>
          </m:sSubSup>
          <m:r>
            <m:rPr>
              <m:sty m:val="p"/>
            </m:rPr>
            <m:t>)</m:t>
          </m:r>
          <m:r>
            <m:rPr>
              <m:nor/>
              <m:sty m:val="p"/>
            </m:rPr>
            <m:t> and </m:t>
          </m:r>
          <m:sSub>
            <m:e>
              <m:r>
                <m:t>ϵ</m:t>
              </m:r>
            </m:e>
            <m:sub>
              <m:r>
                <m:t>i</m:t>
              </m:r>
              <m:r>
                <m:t>m</m:t>
              </m:r>
            </m:sub>
          </m:sSub>
          <m:limUpp>
            <m:e>
              <m:r>
                <m:rPr>
                  <m:sty m:val="p"/>
                </m:rPr>
                <m:t>∼</m:t>
              </m:r>
            </m:e>
            <m:lim>
              <m:r>
                <m:t>i</m:t>
              </m:r>
              <m:r>
                <m:t>i</m:t>
              </m:r>
              <m:r>
                <m:t>d</m:t>
              </m:r>
            </m:lim>
          </m:limUpp>
          <m:r>
            <m:t>N</m:t>
          </m:r>
          <m:r>
            <m:rPr>
              <m:sty m:val="p"/>
            </m:rPr>
            <m:t>(</m:t>
          </m:r>
          <m:r>
            <m:t>0</m:t>
          </m:r>
          <m:r>
            <m:rPr>
              <m:sty m:val="p"/>
            </m:rPr>
            <m:t>,</m:t>
          </m:r>
          <m:sSubSup>
            <m:e>
              <m:r>
                <m:t>σ</m:t>
              </m:r>
            </m:e>
            <m:sub>
              <m:r>
                <m:t>ϵ</m:t>
              </m:r>
            </m:sub>
            <m:sup>
              <m:r>
                <m:t>2</m:t>
              </m:r>
            </m:sup>
          </m:sSubSup>
          <m:r>
            <m:rPr>
              <m:sty m:val="p"/>
            </m:rPr>
            <m:t>)</m:t>
          </m:r>
        </m:oMath>
      </m:oMathPara>
    </w:p>
    <w:p>
      <w:pPr>
        <w:pStyle w:val="FirstParagraph"/>
      </w:pPr>
      <w:r>
        <w:t xml:space="preserve">for</w:t>
      </w:r>
      <w:r>
        <w:t xml:space="preserve"> </w:t>
      </w:r>
      <m:oMath>
        <m:r>
          <m:t>i</m:t>
        </m:r>
        <m:r>
          <m:rPr>
            <m:sty m:val="p"/>
          </m:rPr>
          <m:t>=</m:t>
        </m:r>
      </m:oMath>
      <w:r>
        <w:t xml:space="preserve">________________;</w:t>
      </w:r>
      <w:r>
        <w:t xml:space="preserve"> </w:t>
      </w:r>
      <m:oMath>
        <m:r>
          <m:t>m</m:t>
        </m:r>
        <m:r>
          <m:rPr>
            <m:sty m:val="p"/>
          </m:rPr>
          <m:t>=</m:t>
        </m:r>
      </m:oMath>
      <w:r>
        <w:t xml:space="preserve">________________</w:t>
      </w:r>
    </w:p>
    <w:p>
      <w:pPr>
        <w:pStyle w:val="BodyText"/>
      </w:pPr>
      <w:r>
        <w:t xml:space="preserve">where:</w:t>
      </w:r>
    </w:p>
    <w:p>
      <w:pPr>
        <w:numPr>
          <w:ilvl w:val="0"/>
          <w:numId w:val="1008"/>
        </w:numPr>
      </w:pPr>
      <m:oMath>
        <m:sSub>
          <m:e>
            <m:r>
              <m:t>y</m:t>
            </m:r>
          </m:e>
          <m:sub>
            <m:r>
              <m:t>i</m:t>
            </m:r>
            <m:r>
              <m:t>j</m:t>
            </m:r>
          </m:sub>
        </m:sSub>
      </m:oMath>
      <w:r>
        <w:t xml:space="preserve"> </w:t>
      </w:r>
      <w:r>
        <w:t xml:space="preserve">is the…</w:t>
      </w:r>
    </w:p>
    <w:p>
      <w:pPr>
        <w:numPr>
          <w:ilvl w:val="0"/>
          <w:numId w:val="1008"/>
        </w:numPr>
      </w:pPr>
      <m:oMath>
        <m:r>
          <m:t>μ</m:t>
        </m:r>
      </m:oMath>
      <w:r>
        <w:t xml:space="preserve"> </w:t>
      </w:r>
      <w:r>
        <w:t xml:space="preserve">is the…</w:t>
      </w:r>
    </w:p>
    <w:p>
      <w:pPr>
        <w:numPr>
          <w:ilvl w:val="0"/>
          <w:numId w:val="1008"/>
        </w:numPr>
      </w:pPr>
      <m:oMath>
        <m:sSub>
          <m:e>
            <m:r>
              <m:t>τ</m:t>
            </m:r>
          </m:e>
          <m:sub>
            <m:r>
              <m:t>i</m:t>
            </m:r>
          </m:sub>
        </m:sSub>
      </m:oMath>
      <w:r>
        <w:t xml:space="preserve"> </w:t>
      </w:r>
      <w:r>
        <w:t xml:space="preserve">is the…</w:t>
      </w:r>
    </w:p>
    <w:p>
      <w:pPr>
        <w:numPr>
          <w:ilvl w:val="0"/>
          <w:numId w:val="1008"/>
        </w:numPr>
      </w:pPr>
      <m:oMath>
        <m:sSub>
          <m:e>
            <m:r>
              <m:t>p</m:t>
            </m:r>
          </m:e>
          <m:sub>
            <m:r>
              <m:t>m</m:t>
            </m:r>
          </m:sub>
        </m:sSub>
      </m:oMath>
      <w:r>
        <w:t xml:space="preserve"> </w:t>
      </w:r>
      <w:r>
        <w:t xml:space="preserve">is the…</w:t>
      </w:r>
    </w:p>
    <w:p>
      <w:pPr>
        <w:numPr>
          <w:ilvl w:val="0"/>
          <w:numId w:val="1008"/>
        </w:numPr>
      </w:pPr>
      <m:oMath>
        <m:sSub>
          <m:e>
            <m:r>
              <m:t>ϵ</m:t>
            </m:r>
          </m:e>
          <m:sub>
            <m:r>
              <m:t>i</m:t>
            </m:r>
            <m:r>
              <m:t>m</m:t>
            </m:r>
          </m:sub>
        </m:sSub>
      </m:oMath>
      <w:r>
        <w:t xml:space="preserve"> </w:t>
      </w:r>
      <w:r>
        <w:t xml:space="preserve">is the…</w:t>
      </w:r>
    </w:p>
    <w:bookmarkEnd w:id="31"/>
    <w:bookmarkStart w:id="32" w:name="X5cb3e9456bb6e17a5754dd2fc05b5d6d873b50a"/>
    <w:p>
      <w:pPr>
        <w:pStyle w:val="Heading3"/>
      </w:pPr>
      <w:r>
        <w:t xml:space="preserve">7. Based on your treatment and design structure above, write out the skeleton ANOVA.</w:t>
      </w:r>
    </w:p>
    <w:p>
      <w:pPr>
        <w:pStyle w:val="FirstParagraph"/>
      </w:pPr>
      <w:r>
        <w:rPr>
          <w:b/>
          <w:bCs/>
        </w:rPr>
        <w:t xml:space="preserve">For each source of variability, indicate whether it is a fixed or random effect.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 of Variation</w:t>
            </w:r>
          </w:p>
        </w:tc>
        <w:tc>
          <w:tcPr/>
          <w:p>
            <w:pPr>
              <w:pStyle w:val="Compact"/>
            </w:pPr>
            <w:r>
              <w:t xml:space="preserve">DF</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32"/>
    <w:bookmarkStart w:id="33" w:name="Xfbcc813a441d48239b8739728359586b49895c8"/>
    <w:p>
      <w:pPr>
        <w:pStyle w:val="Heading3"/>
      </w:pPr>
      <w:r>
        <w:t xml:space="preserve">8. Now, fit the appropriate Linear Mixed Model (LMM) in R.</w:t>
      </w:r>
    </w:p>
    <w:p>
      <w:pPr>
        <w:pStyle w:val="SourceCode"/>
      </w:pPr>
      <w:r>
        <w:rPr>
          <w:rStyle w:val="CommentTok"/>
        </w:rPr>
        <w:t xml:space="preserve"># LLM code (make sure you are using the long data!)</w:t>
      </w:r>
      <w:r>
        <w:br/>
      </w:r>
      <w:r>
        <w:br/>
      </w:r>
      <w:r>
        <w:rPr>
          <w:rStyle w:val="CommentTok"/>
        </w:rPr>
        <w:t xml:space="preserve"># fit model</w:t>
      </w:r>
      <w:r>
        <w:br/>
      </w:r>
      <w:r>
        <w:br/>
      </w:r>
      <w:r>
        <w:br/>
      </w:r>
      <w:r>
        <w:rPr>
          <w:rStyle w:val="CommentTok"/>
        </w:rPr>
        <w:t xml:space="preserve"># look at model results</w:t>
      </w:r>
    </w:p>
    <w:p>
      <w:pPr>
        <w:pStyle w:val="FirstParagraph"/>
      </w:pPr>
      <w:r>
        <w:t xml:space="preserve">Report the following:</w:t>
      </w:r>
    </w:p>
    <w:p>
      <w:pPr>
        <w:numPr>
          <w:ilvl w:val="0"/>
          <w:numId w:val="1009"/>
        </w:numPr>
      </w:pPr>
      <m:oMath>
        <m:sSubSup>
          <m:e>
            <m:acc>
              <m:accPr>
                <m:chr m:val="̂"/>
              </m:accPr>
              <m:e>
                <m:r>
                  <m:t>σ</m:t>
                </m:r>
              </m:e>
            </m:acc>
          </m:e>
          <m:sub>
            <m:r>
              <m:t>b</m:t>
            </m:r>
            <m:r>
              <m:t>l</m:t>
            </m:r>
            <m:r>
              <m:t>k</m:t>
            </m:r>
          </m:sub>
          <m:sup>
            <m:r>
              <m:t>2</m:t>
            </m:r>
          </m:sup>
        </m:sSubSup>
        <m:r>
          <m:rPr>
            <m:sty m:val="p"/>
          </m:rPr>
          <m:t>=</m:t>
        </m:r>
      </m:oMath>
      <w:r>
        <w:t xml:space="preserve"> </w:t>
      </w:r>
      <w:r>
        <w:t xml:space="preserve">_____________ and</w:t>
      </w:r>
      <w:r>
        <w:t xml:space="preserve"> </w:t>
      </w:r>
      <m:oMath>
        <m:sSubSup>
          <m:e>
            <m:acc>
              <m:accPr>
                <m:chr m:val="̂"/>
              </m:accPr>
              <m:e>
                <m:r>
                  <m:t>σ</m:t>
                </m:r>
              </m:e>
            </m:acc>
          </m:e>
          <m:sub>
            <m:r>
              <m:t>ϵ</m:t>
            </m:r>
          </m:sub>
          <m:sup>
            <m:r>
              <m:t>2</m:t>
            </m:r>
          </m:sup>
        </m:sSubSup>
        <m:r>
          <m:rPr>
            <m:sty m:val="p"/>
          </m:rPr>
          <m:t>=</m:t>
        </m:r>
      </m:oMath>
      <w:r>
        <w:t xml:space="preserve"> </w:t>
      </w:r>
      <w:r>
        <w:t xml:space="preserve">_______________</w:t>
      </w:r>
    </w:p>
    <w:p>
      <w:pPr>
        <w:numPr>
          <w:ilvl w:val="0"/>
          <w:numId w:val="1009"/>
        </w:numPr>
      </w:pPr>
      <w:r>
        <w:t xml:space="preserve">Supporting evidence: F = __________; df = ____, _____; p = __________</w:t>
      </w:r>
    </w:p>
    <w:p>
      <w:pPr>
        <w:numPr>
          <w:ilvl w:val="0"/>
          <w:numId w:val="1009"/>
        </w:numPr>
      </w:pPr>
      <w:r>
        <w:t xml:space="preserve">Estimated difference in mean time between black and colored text (i.e., ordered difference report/pairs): ________________</w:t>
      </w:r>
    </w:p>
    <w:p>
      <w:pPr>
        <w:numPr>
          <w:ilvl w:val="0"/>
          <w:numId w:val="1009"/>
        </w:numPr>
      </w:pPr>
      <w:r>
        <w:t xml:space="preserve">Estimated standard error in the difference in mean time between black and colored text (i.e., ordered difference report/pairs): _____________</w:t>
      </w:r>
    </w:p>
    <w:bookmarkEnd w:id="33"/>
    <w:bookmarkStart w:id="34" w:name="X8bcd7ca0035d77555c78578215bf279f9dc5a5a"/>
    <w:p>
      <w:pPr>
        <w:pStyle w:val="Heading3"/>
      </w:pPr>
      <w:r>
        <w:t xml:space="preserve">9. Compare your results between (3) and (9). What do you notice?</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5">
    <w:p>
      <w:pPr>
        <w:pStyle w:val="FootnoteText"/>
      </w:pPr>
      <w:r>
        <w:rPr>
          <w:rStyle w:val="FootnoteReference"/>
        </w:rPr>
        <w:footnoteRef/>
      </w:r>
      <w:r>
        <w:t xml:space="preserve"> </w:t>
      </w:r>
      <w:hyperlink r:id="rId16">
        <w:r>
          <w:rPr>
            <w:rStyle w:val="Hyperlink"/>
          </w:rPr>
          <w:t xml:space="preserve">https://psycnet.apa.org/record/1936-01863-001</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9" Target="media/rId9.png" /><Relationship Type="http://schemas.openxmlformats.org/officeDocument/2006/relationships/hyperlink" Id="rId14" Target="../_data/06-color-interference-long.csv" TargetMode="External" /><Relationship Type="http://schemas.openxmlformats.org/officeDocument/2006/relationships/hyperlink" Id="rId13" Target="../_data/06-color-interference-wide.csv" TargetMode="External" /><Relationship Type="http://schemas.openxmlformats.org/officeDocument/2006/relationships/hyperlink" Id="rId12" Target="../student/06.1-activity-color-interference.qmd" TargetMode="External" /><Relationship Type="http://schemas.openxmlformats.org/officeDocument/2006/relationships/hyperlink" Id="rId16" Target="https://psycnet.apa.org/record/1936-01863-001" TargetMode="External" /></Relationships>
</file>

<file path=word/_rels/footnotes.xml.rels><?xml version="1.0" encoding="UTF-8"?><Relationships xmlns="http://schemas.openxmlformats.org/package/2006/relationships"><Relationship Type="http://schemas.openxmlformats.org/officeDocument/2006/relationships/hyperlink" Id="rId14" Target="../_data/06-color-interference-long.csv" TargetMode="External" /><Relationship Type="http://schemas.openxmlformats.org/officeDocument/2006/relationships/hyperlink" Id="rId13" Target="../_data/06-color-interference-wide.csv" TargetMode="External" /><Relationship Type="http://schemas.openxmlformats.org/officeDocument/2006/relationships/hyperlink" Id="rId12" Target="../student/06.1-activity-color-interference.qmd" TargetMode="External" /><Relationship Type="http://schemas.openxmlformats.org/officeDocument/2006/relationships/hyperlink" Id="rId16" Target="https://psycnet.apa.org/record/1936-01863-0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6.1: Random Block Effect vs Paired t-test</dc:title>
  <dc:creator/>
  <cp:keywords/>
  <dcterms:created xsi:type="dcterms:W3CDTF">2026-09-30T22:16:20Z</dcterms:created>
  <dcterms:modified xsi:type="dcterms:W3CDTF">2026-09-30T22:16:20Z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Color Interference</vt:lpwstr>
  </property>
  <property fmtid="{D5CDD505-2E9C-101B-9397-08002B2CF9AE}" pid="11" name="toc-title">
    <vt:lpwstr>Table of contents</vt:lpwstr>
  </property>
</Properties>
</file>