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Override PartName="/word/media/rId26.png" ContentType="image/png"/>
  <Override PartName="/word/media/rId9.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Activity 5.1: Reducing Variability with Blocking</w:t>
      </w:r>
    </w:p>
    <w:p>
      <w:pPr>
        <w:pStyle w:val="Subtitle"/>
      </w:pPr>
      <w:r>
        <w:t xml:space="preserve">Advertising Strategies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Applications/quarto/share/formats/docx/warning.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numPr>
                <w:ilvl w:val="0"/>
                <w:numId w:val="1001"/>
              </w:numPr>
            </w:pPr>
            <w:r>
              <w:t xml:space="preserve">Submit via Gradescope, don’t forget to assign pages to the questions in the outline!</w:t>
            </w:r>
          </w:p>
          <w:p>
            <w:pPr>
              <w:numPr>
                <w:ilvl w:val="0"/>
                <w:numId w:val="1001"/>
              </w:numPr>
            </w:pPr>
            <w:r>
              <w:t xml:space="preserve">Delete any extraneous instructions (</w:t>
            </w:r>
            <w:r>
              <w:rPr>
                <w:b/>
                <w:bCs/>
              </w:rPr>
              <w:t xml:space="preserve">like this box</w:t>
            </w:r>
            <w:r>
              <w:t xml:space="preserve">) before submission.</w:t>
            </w:r>
            <w:r>
              <w:t xml:space="preserve"> </w:t>
            </w:r>
            <w:r>
              <w:rPr>
                <w:i/>
                <w:iCs/>
              </w:rPr>
              <w:t xml:space="preserve">You will be deducted points from now on if you do not follow this instruction!</w:t>
            </w:r>
          </w:p>
          <w:p>
            <w:pPr>
              <w:numPr>
                <w:ilvl w:val="0"/>
                <w:numId w:val="1001"/>
              </w:numPr>
            </w:pPr>
            <w:r>
              <w:t xml:space="preserve">Delete anything like</w:t>
            </w:r>
            <w:r>
              <w:t xml:space="preserve"> </w:t>
            </w:r>
            <w:r>
              <w:rPr>
                <w:rStyle w:val="VerbatimChar"/>
              </w:rPr>
              <w:t xml:space="preserve">\vspace{}</w:t>
            </w:r>
          </w:p>
          <w:p>
            <w:pPr>
              <w:numPr>
                <w:ilvl w:val="0"/>
                <w:numId w:val="1001"/>
              </w:numPr>
            </w:pPr>
            <w:r>
              <w:t xml:space="preserve">Remember that it’s okay if you cannot get the .qmd to render to submit this!! I will help you but you can also use any of the other formats.</w:t>
            </w:r>
          </w:p>
          <w:p>
            <w:pPr>
              <w:numPr>
                <w:ilvl w:val="0"/>
                <w:numId w:val="1001"/>
              </w:numPr>
            </w:pPr>
            <w:r>
              <w:t xml:space="preserve">You should follow the qmd template for coding:</w:t>
            </w:r>
            <w:r>
              <w:t xml:space="preserve"> </w:t>
            </w:r>
            <w:hyperlink r:id="rId12">
              <w:r>
                <w:rPr>
                  <w:rStyle w:val="Hyperlink"/>
                </w:rPr>
                <w:t xml:space="preserve">05.1-activity-reducing-variability-with-blocking.qmd</w:t>
              </w:r>
            </w:hyperlink>
          </w:p>
          <w:p>
            <w:pPr>
              <w:numPr>
                <w:ilvl w:val="0"/>
                <w:numId w:val="1001"/>
              </w:numPr>
            </w:pPr>
            <w:r>
              <w:t xml:space="preserve">You can download the data on Canvas or here:</w:t>
            </w:r>
            <w:r>
              <w:t xml:space="preserve"> </w:t>
            </w:r>
            <w:hyperlink r:id="rId13">
              <w:r>
                <w:rPr>
                  <w:rStyle w:val="Hyperlink"/>
                </w:rPr>
                <w:t xml:space="preserve">05-advertising_sales_data.csv)</w:t>
              </w:r>
            </w:hyperlink>
          </w:p>
          <w:p/>
        </w:tc>
      </w:tr>
    </w:tbl>
    <w:p>
      <w:pPr>
        <w:pStyle w:val="FirstParagraph"/>
      </w:pPr>
      <w:r>
        <w:t xml:space="preserve">A marketing team for a regional grocery chain wants to compare the impact of four advertising strategies on sales.</w:t>
      </w:r>
    </w:p>
    <w:p>
      <w:pPr>
        <w:pStyle w:val="BodyText"/>
      </w:pPr>
      <w:r>
        <w:t xml:space="preserve">The four strategies are:</w:t>
      </w:r>
    </w:p>
    <w:p>
      <w:pPr>
        <w:pStyle w:val="Compact"/>
        <w:numPr>
          <w:ilvl w:val="0"/>
          <w:numId w:val="1002"/>
        </w:numPr>
      </w:pPr>
      <w:r>
        <w:t xml:space="preserve">(Discount) Discount-Driven Ads – highlight weekly price specials.</w:t>
      </w:r>
    </w:p>
    <w:p>
      <w:pPr>
        <w:pStyle w:val="Compact"/>
        <w:numPr>
          <w:ilvl w:val="0"/>
          <w:numId w:val="1002"/>
        </w:numPr>
      </w:pPr>
      <w:r>
        <w:t xml:space="preserve">(Storytelling) Brand Storytelling – focus on local farms and family ownership.</w:t>
      </w:r>
    </w:p>
    <w:p>
      <w:pPr>
        <w:pStyle w:val="Compact"/>
        <w:numPr>
          <w:ilvl w:val="0"/>
          <w:numId w:val="1002"/>
        </w:numPr>
      </w:pPr>
      <w:r>
        <w:t xml:space="preserve">(Digital) Digital-Only – social media and email ads only.</w:t>
      </w:r>
    </w:p>
    <w:p>
      <w:pPr>
        <w:pStyle w:val="Compact"/>
        <w:numPr>
          <w:ilvl w:val="0"/>
          <w:numId w:val="1002"/>
        </w:numPr>
      </w:pPr>
      <w:r>
        <w:t xml:space="preserve">(Events) Community Events – in-person promotions like pop-up tastings.</w:t>
      </w:r>
    </w:p>
    <w:p>
      <w:pPr>
        <w:pStyle w:val="FirstParagraph"/>
      </w:pPr>
      <w:r>
        <w:t xml:space="preserve">There are 16 cities interested in participating in the study. Each city will use one advertising strategy for a 6-week campaign, and overall sales volume during that period will be recorded. However, cities differ greatly in their population size and baseline sales. Larger cities naturally have higher sales, regardless of the advertising strategy.</w:t>
      </w:r>
    </w:p>
    <w:bookmarkStart w:id="18" w:name="part-a-setup"/>
    <w:p>
      <w:pPr>
        <w:pStyle w:val="Heading1"/>
      </w:pPr>
      <w:r>
        <w:t xml:space="preserve">Part A: Setup</w:t>
      </w:r>
    </w:p>
    <w:bookmarkStart w:id="14" w:name="Xb9b8998afb79c9a44797aa01f6e65ddc1055149"/>
    <w:p>
      <w:pPr>
        <w:pStyle w:val="Heading2"/>
      </w:pPr>
      <w:r>
        <w:t xml:space="preserve">1. How would you create blocks for this experiment?</w:t>
      </w:r>
    </w:p>
    <w:bookmarkEnd w:id="14"/>
    <w:bookmarkStart w:id="15" w:name="sketch-a-design-blueprint"/>
    <w:p>
      <w:pPr>
        <w:pStyle w:val="Heading2"/>
      </w:pPr>
      <w:r>
        <w:t xml:space="preserve">2. Sketch a design blueprint</w:t>
      </w:r>
    </w:p>
    <w:p>
      <w:pPr>
        <w:pStyle w:val="FirstParagraph"/>
      </w:pPr>
      <w:r>
        <w:t xml:space="preserve">Clearly draw the blocks, show the experimental units, and how treatments are randomly assigned.</w:t>
      </w:r>
    </w:p>
    <w:bookmarkEnd w:id="15"/>
    <w:bookmarkStart w:id="16" w:name="describe-the-treatment-structure"/>
    <w:p>
      <w:pPr>
        <w:pStyle w:val="Heading2"/>
      </w:pPr>
      <w:r>
        <w:t xml:space="preserve">3. Describe the treatment structure</w:t>
      </w:r>
    </w:p>
    <w:bookmarkEnd w:id="16"/>
    <w:bookmarkStart w:id="17" w:name="describe-the-experimental-structure"/>
    <w:p>
      <w:pPr>
        <w:pStyle w:val="Heading2"/>
      </w:pPr>
      <w:r>
        <w:t xml:space="preserve">4. Describe the experimental structure</w:t>
      </w:r>
    </w:p>
    <w:bookmarkEnd w:id="17"/>
    <w:bookmarkEnd w:id="18"/>
    <w:bookmarkStart w:id="25" w:name="part-b-incorrect-analysis"/>
    <w:p>
      <w:pPr>
        <w:pStyle w:val="Heading1"/>
      </w:pPr>
      <w:r>
        <w:t xml:space="preserve">Part B: Incorrect Analysis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Applications/quarto/share/formats/docx/important.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STOP!</w:t>
            </w:r>
          </w:p>
        </w:tc>
      </w:tr>
      <w:tr>
        <w:trPr>
          <w:cantSplit/>
        </w:trPr>
        <w:tc>
          <w:tcPr>
            <w:tcMar>
              <w:top w:w="108" w:type="dxa"/>
              <w:bottom w:w="108" w:type="dxa"/>
            </w:tcMar>
          </w:tcPr>
          <w:p>
            <w:pPr>
              <w:pStyle w:val="BodyText"/>
            </w:pPr>
            <w:pPr>
              <w:spacing w:before="16" w:after="16"/>
            </w:pPr>
            <w:r>
              <w:t xml:space="preserve">Before you proceed to read in the data, make sure that you have</w:t>
            </w:r>
            <w:r>
              <w:t xml:space="preserve"> </w:t>
            </w:r>
            <w:r>
              <w:rPr>
                <w:b/>
                <w:bCs/>
              </w:rPr>
              <w:t xml:space="preserve">moved the .qmd template AND the data to your STAT 3540 folder</w:t>
            </w:r>
            <w:r>
              <w:t xml:space="preserve"> </w:t>
            </w:r>
            <w:r>
              <w:t xml:space="preserve">(and whatever sub-folder you choose). You will need to add the relative file path to the code below to the data!</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Applications/quarto/share/formats/docx/warning.png" id="23"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INCORRECT ANALYSIS!</w:t>
            </w:r>
          </w:p>
        </w:tc>
      </w:tr>
      <w:tr>
        <w:trPr>
          <w:cantSplit/>
        </w:trPr>
        <w:tc>
          <w:tcPr>
            <w:tcMar>
              <w:top w:w="108" w:type="dxa"/>
              <w:bottom w:w="108" w:type="dxa"/>
            </w:tcMar>
          </w:tcPr>
          <w:bookmarkStart w:id="24" w:name="X378689796bb1176dc4d76e25c8d675258dc38bf"/>
          <w:p>
            <w:pPr>
              <w:pStyle w:val="Heading2"/>
            </w:pPr>
            <w:r>
              <w:t xml:space="preserve">5. Run a one-way ANOVA CRD analysis (ignoring block) and record the numeric values below</w:t>
            </w:r>
          </w:p>
          <w:p>
            <w:pPr>
              <w:pStyle w:val="FirstParagraph"/>
            </w:pPr>
            <m:oMathPara>
              <m:oMathParaPr>
                <m:jc m:val="center"/>
              </m:oMathParaPr>
              <m:oMath>
                <m:sSub>
                  <m:e>
                    <m:r>
                      <m:t>y</m:t>
                    </m:r>
                  </m:e>
                  <m:sub>
                    <m:r>
                      <m:t>i</m:t>
                    </m:r>
                    <m:r>
                      <m:t>m</m:t>
                    </m:r>
                  </m:sub>
                </m:sSub>
                <m:r>
                  <m:rPr>
                    <m:sty m:val="p"/>
                  </m:rPr>
                  <m:t>=</m:t>
                </m:r>
                <m:r>
                  <m:t>μ</m:t>
                </m:r>
                <m:r>
                  <m:rPr>
                    <m:sty m:val="p"/>
                  </m:rPr>
                  <m:t>+</m:t>
                </m:r>
                <m:sSub>
                  <m:e>
                    <m:r>
                      <m:t>τ</m:t>
                    </m:r>
                  </m:e>
                  <m:sub>
                    <m:r>
                      <m:t>i</m:t>
                    </m:r>
                  </m:sub>
                </m:sSub>
                <m:r>
                  <m:rPr>
                    <m:sty m:val="p"/>
                  </m:rPr>
                  <m:t>+</m:t>
                </m:r>
                <m:sSub>
                  <m:e>
                    <m:r>
                      <m:t>ϵ</m:t>
                    </m:r>
                  </m:e>
                  <m:sub>
                    <m:r>
                      <m:t>i</m:t>
                    </m:r>
                    <m:r>
                      <m:t>m</m:t>
                    </m:r>
                  </m:sub>
                </m:sSub>
                <m:r>
                  <m:rPr>
                    <m:nor/>
                    <m:sty m:val="p"/>
                  </m:rPr>
                  <m:t> with </m:t>
                </m:r>
                <m:sSub>
                  <m:e>
                    <m:r>
                      <m:t>ϵ</m:t>
                    </m:r>
                  </m:e>
                  <m:sub>
                    <m:r>
                      <m:t>i</m:t>
                    </m:r>
                    <m:r>
                      <m:t>m</m:t>
                    </m:r>
                  </m:sub>
                </m:sSub>
                <m:limUpp>
                  <m:e>
                    <m:r>
                      <m:rPr>
                        <m:sty m:val="p"/>
                      </m:rPr>
                      <m:t>∼</m:t>
                    </m:r>
                  </m:e>
                  <m:lim>
                    <m:r>
                      <m:rPr>
                        <m:nor/>
                        <m:sty m:val="p"/>
                      </m:rPr>
                      <m:t>iid</m:t>
                    </m:r>
                  </m:lim>
                </m:limUpp>
                <m:r>
                  <m:t>N</m:t>
                </m:r>
                <m:r>
                  <m:rPr>
                    <m:sty m:val="p"/>
                  </m:rPr>
                  <m:t>(</m:t>
                </m:r>
                <m:r>
                  <m:t>0</m:t>
                </m:r>
                <m:r>
                  <m:rPr>
                    <m:sty m:val="p"/>
                  </m:rPr>
                  <m:t>,</m:t>
                </m:r>
                <m:sSup>
                  <m:e>
                    <m:r>
                      <m:t>σ</m:t>
                    </m:r>
                  </m:e>
                  <m:sup>
                    <m:r>
                      <m:t>2</m:t>
                    </m:r>
                  </m:sup>
                </m:sSup>
                <m:r>
                  <m:rPr>
                    <m:sty m:val="p"/>
                  </m:rPr>
                  <m:t>)</m:t>
                </m:r>
              </m:oMath>
            </m:oMathPara>
          </w:p>
          <w:p>
            <w:pPr>
              <w:pStyle w:val="FirstParagraph"/>
            </w:pPr>
            <w:r>
              <w:t xml:space="preserve">for</w:t>
            </w:r>
            <w:r>
              <w:t xml:space="preserve"> </w:t>
            </w:r>
            <m:oMath>
              <m:r>
                <m:t>i</m:t>
              </m:r>
              <m:r>
                <m:rPr>
                  <m:sty m:val="p"/>
                </m:rPr>
                <m:t>=</m:t>
              </m:r>
              <m:r>
                <m:t>1</m:t>
              </m:r>
              <m:r>
                <m:rPr>
                  <m:sty m:val="p"/>
                </m:rPr>
                <m:t>,</m:t>
              </m:r>
              <m:r>
                <m:t>2</m:t>
              </m:r>
              <m:r>
                <m:rPr>
                  <m:sty m:val="p"/>
                </m:rPr>
                <m:t>,</m:t>
              </m:r>
              <m:r>
                <m:t>3</m:t>
              </m:r>
              <m:r>
                <m:rPr>
                  <m:sty m:val="p"/>
                </m:rPr>
                <m:t>,</m:t>
              </m:r>
              <m:r>
                <m:t>4</m:t>
              </m:r>
            </m:oMath>
            <w:r>
              <w:t xml:space="preserve"> </w:t>
            </w:r>
            <w:r>
              <w:t xml:space="preserve">and</w:t>
            </w:r>
            <w:r>
              <w:t xml:space="preserve"> </w:t>
            </w:r>
            <m:oMath>
              <m:r>
                <m:t>m</m:t>
              </m:r>
              <m:r>
                <m:rPr>
                  <m:sty m:val="p"/>
                </m:rPr>
                <m:t>=</m:t>
              </m:r>
              <m:r>
                <m:t>1</m:t>
              </m:r>
              <m:r>
                <m:rPr>
                  <m:sty m:val="p"/>
                </m:rPr>
                <m:t>,</m:t>
              </m:r>
              <m:r>
                <m:t>2</m:t>
              </m:r>
              <m:r>
                <m:rPr>
                  <m:sty m:val="p"/>
                </m:rPr>
                <m:t>,</m:t>
              </m:r>
              <m:r>
                <m:t>3</m:t>
              </m:r>
              <m:r>
                <m:rPr>
                  <m:sty m:val="p"/>
                </m:rPr>
                <m:t>,</m:t>
              </m:r>
              <m:r>
                <m:t>4</m:t>
              </m:r>
            </m:oMath>
          </w:p>
          <w:p>
            <w:pPr>
              <w:pStyle w:val="Compact"/>
              <w:numPr>
                <w:ilvl w:val="0"/>
                <w:numId w:val="1003"/>
              </w:numPr>
            </w:pPr>
            <w:r>
              <w:t xml:space="preserve">SST = ________________</w:t>
            </w:r>
          </w:p>
          <w:p>
            <w:pPr>
              <w:pStyle w:val="Compact"/>
              <w:numPr>
                <w:ilvl w:val="0"/>
                <w:numId w:val="1003"/>
              </w:numPr>
            </w:pPr>
            <w:r>
              <w:t xml:space="preserve">SSTrt = ______________</w:t>
            </w:r>
          </w:p>
          <w:p>
            <w:pPr>
              <w:pStyle w:val="Compact"/>
              <w:numPr>
                <w:ilvl w:val="0"/>
                <w:numId w:val="1003"/>
              </w:numPr>
            </w:pPr>
            <w:r>
              <w:t xml:space="preserve">SSE = ________________</w:t>
            </w:r>
            <w:r>
              <w:t xml:space="preserve"> </w:t>
            </w:r>
            <m:oMath>
              <m:r>
                <m:rPr>
                  <m:sty m:val="p"/>
                </m:rPr>
                <m:t>→</m:t>
              </m:r>
            </m:oMath>
            <w:r>
              <w:t xml:space="preserve"> </w:t>
            </w:r>
            <w:r>
              <w:t xml:space="preserve">MSE =</w:t>
            </w:r>
            <w:r>
              <w:t xml:space="preserve"> </w:t>
            </w:r>
            <m:oMath>
              <m:sSup>
                <m:e>
                  <m:acc>
                    <m:accPr>
                      <m:chr m:val="̂"/>
                    </m:accPr>
                    <m:e>
                      <m:r>
                        <m:t>σ</m:t>
                      </m:r>
                    </m:e>
                  </m:acc>
                </m:e>
                <m:sup>
                  <m:r>
                    <m:t>2</m:t>
                  </m:r>
                </m:sup>
              </m:sSup>
            </m:oMath>
            <w:r>
              <w:t xml:space="preserve"> </w:t>
            </w:r>
            <w:r>
              <w:t xml:space="preserve">= _________</w:t>
            </w:r>
          </w:p>
          <w:p/>
        </w:tc>
      </w:tr>
    </w:tbl>
    <w:bookmarkEnd w:id="24"/>
    <w:bookmarkEnd w:id="25"/>
    <w:bookmarkStart w:id="33" w:name="part-c-treatment-and-block-means"/>
    <w:p>
      <w:pPr>
        <w:pStyle w:val="Heading1"/>
      </w:pPr>
      <w:r>
        <w:t xml:space="preserve">Part C: Treatment and Block Means</w:t>
      </w:r>
    </w:p>
    <w:p>
      <w:pPr>
        <w:pStyle w:val="FirstParagraph"/>
      </w:pPr>
      <w:r>
        <w:t xml:space="preserve">The observed sales volumes (in thousands of dollars) are shown below.</w:t>
      </w:r>
    </w:p>
    <w:bookmarkStart w:id="29" w:name="original-sales"/>
    <w:p>
      <w:pPr>
        <w:pStyle w:val="Heading3"/>
      </w:pPr>
      <w:r>
        <w:t xml:space="preserve">Original Sales</w:t>
      </w:r>
    </w:p>
    <w:tbl>
      <w:tblPr>
        <w:tblStyle w:val="Table"/>
        <w:tblW w:type="pct" w:w="4902"/>
        <w:tblLayout w:type="fixed"/>
        <w:tblLook w:firstRow="1" w:lastRow="0" w:firstColumn="0" w:lastColumn="0" w:noHBand="0" w:noVBand="0" w:val="0020"/>
      </w:tblPr>
      <w:tblGrid>
        <w:gridCol w:w="3067"/>
        <w:gridCol w:w="970"/>
        <w:gridCol w:w="543"/>
        <w:gridCol w:w="543"/>
        <w:gridCol w:w="931"/>
        <w:gridCol w:w="1708"/>
      </w:tblGrid>
      <w:tr>
        <w:trPr>
          <w:tblHeader w:val="on"/>
        </w:trPr>
        <w:tc>
          <w:tcPr/>
          <w:p>
            <w:pPr>
              <w:pStyle w:val="Compact"/>
            </w:pPr>
            <w:r>
              <w:t xml:space="preserve">Advertising Strategy</w:t>
            </w:r>
          </w:p>
        </w:tc>
        <w:tc>
          <w:tcPr/>
          <w:p>
            <w:pPr>
              <w:pStyle w:val="Compact"/>
            </w:pPr>
            <w:r>
              <w:t xml:space="preserve">Block m = 1 (Smallest)</w:t>
            </w:r>
          </w:p>
        </w:tc>
        <w:tc>
          <w:tcPr/>
          <w:p>
            <w:pPr>
              <w:pStyle w:val="Compact"/>
            </w:pPr>
            <w:r>
              <w:t xml:space="preserve">Block m = 2</w:t>
            </w:r>
          </w:p>
        </w:tc>
        <w:tc>
          <w:tcPr/>
          <w:p>
            <w:pPr>
              <w:pStyle w:val="Compact"/>
            </w:pPr>
            <w:r>
              <w:t xml:space="preserve">Block m = 3</w:t>
            </w:r>
          </w:p>
        </w:tc>
        <w:tc>
          <w:tcPr/>
          <w:p>
            <w:pPr>
              <w:pStyle w:val="Compact"/>
            </w:pPr>
            <w:r>
              <w:t xml:space="preserve">Block m = 4 (Largest)</w:t>
            </w:r>
          </w:p>
        </w:tc>
        <w:tc>
          <w:tcPr/>
          <w:p>
            <w:pPr>
              <w:pStyle w:val="Compact"/>
            </w:pPr>
            <w:r>
              <w:t xml:space="preserve">Treatment Mean Sales</w:t>
            </w:r>
            <w:r>
              <w:t xml:space="preserve"> </w:t>
            </w:r>
            <m:oMath>
              <m:sSub>
                <m:e>
                  <m:acc>
                    <m:accPr>
                      <m:chr m:val="‾"/>
                    </m:accPr>
                    <m:e>
                      <m:r>
                        <m:t>y</m:t>
                      </m:r>
                    </m:e>
                  </m:acc>
                </m:e>
                <m:sub>
                  <m:r>
                    <m:t>i</m:t>
                  </m:r>
                  <m:r>
                    <m:rPr>
                      <m:sty m:val="p"/>
                    </m:rPr>
                    <m:t>⋅</m:t>
                  </m:r>
                </m:sub>
              </m:sSub>
            </m:oMath>
            <w:r>
              <w:t xml:space="preserve"> </w:t>
            </w:r>
            <w:r>
              <w:t xml:space="preserve">|</w:t>
            </w:r>
          </w:p>
        </w:tc>
      </w:tr>
      <w:tr>
        <w:tc>
          <w:tcPr/>
          <w:p>
            <w:pPr>
              <w:pStyle w:val="Compact"/>
            </w:pPr>
            <w:r>
              <w:t xml:space="preserve">Digital</w:t>
            </w:r>
          </w:p>
        </w:tc>
        <w:tc>
          <w:tcPr/>
          <w:p>
            <w:pPr>
              <w:pStyle w:val="Compact"/>
            </w:pPr>
            <w:r>
              <w:t xml:space="preserve">136</w:t>
            </w:r>
          </w:p>
        </w:tc>
        <w:tc>
          <w:tcPr/>
          <w:p>
            <w:pPr>
              <w:pStyle w:val="Compact"/>
            </w:pPr>
            <w:r>
              <w:t xml:space="preserve">153</w:t>
            </w:r>
          </w:p>
        </w:tc>
        <w:tc>
          <w:tcPr/>
          <w:p>
            <w:pPr>
              <w:pStyle w:val="Compact"/>
            </w:pPr>
            <w:r>
              <w:t xml:space="preserve">203</w:t>
            </w:r>
          </w:p>
        </w:tc>
        <w:tc>
          <w:tcPr/>
          <w:p>
            <w:pPr>
              <w:pStyle w:val="Compact"/>
            </w:pPr>
            <w:r>
              <w:t xml:space="preserve">200</w:t>
            </w:r>
          </w:p>
        </w:tc>
        <w:tc>
          <w:tcPr/>
          <w:p>
            <w:pPr>
              <w:pStyle w:val="Compact"/>
            </w:pPr>
          </w:p>
        </w:tc>
      </w:tr>
      <w:tr>
        <w:tc>
          <w:tcPr/>
          <w:p>
            <w:pPr>
              <w:pStyle w:val="Compact"/>
            </w:pPr>
            <w:r>
              <w:t xml:space="preserve">Discount</w:t>
            </w:r>
          </w:p>
        </w:tc>
        <w:tc>
          <w:tcPr/>
          <w:p>
            <w:pPr>
              <w:pStyle w:val="Compact"/>
            </w:pPr>
            <w:r>
              <w:t xml:space="preserve">147</w:t>
            </w:r>
          </w:p>
        </w:tc>
        <w:tc>
          <w:tcPr/>
          <w:p>
            <w:pPr>
              <w:pStyle w:val="Compact"/>
            </w:pPr>
            <w:r>
              <w:t xml:space="preserve">146</w:t>
            </w:r>
          </w:p>
        </w:tc>
        <w:tc>
          <w:tcPr/>
          <w:p>
            <w:pPr>
              <w:pStyle w:val="Compact"/>
            </w:pPr>
            <w:r>
              <w:t xml:space="preserve">217</w:t>
            </w:r>
          </w:p>
        </w:tc>
        <w:tc>
          <w:tcPr/>
          <w:p>
            <w:pPr>
              <w:pStyle w:val="Compact"/>
            </w:pPr>
            <w:r>
              <w:t xml:space="preserve">225</w:t>
            </w:r>
          </w:p>
        </w:tc>
        <w:tc>
          <w:tcPr/>
          <w:p>
            <w:pPr>
              <w:pStyle w:val="Compact"/>
            </w:pPr>
          </w:p>
        </w:tc>
      </w:tr>
      <w:tr>
        <w:tc>
          <w:tcPr/>
          <w:p>
            <w:pPr>
              <w:pStyle w:val="Compact"/>
            </w:pPr>
            <w:r>
              <w:t xml:space="preserve">Events</w:t>
            </w:r>
          </w:p>
        </w:tc>
        <w:tc>
          <w:tcPr/>
          <w:p>
            <w:pPr>
              <w:pStyle w:val="Compact"/>
            </w:pPr>
            <w:r>
              <w:t xml:space="preserve">162</w:t>
            </w:r>
          </w:p>
        </w:tc>
        <w:tc>
          <w:tcPr/>
          <w:p>
            <w:pPr>
              <w:pStyle w:val="Compact"/>
            </w:pPr>
            <w:r>
              <w:t xml:space="preserve">189</w:t>
            </w:r>
          </w:p>
        </w:tc>
        <w:tc>
          <w:tcPr/>
          <w:p>
            <w:pPr>
              <w:pStyle w:val="Compact"/>
            </w:pPr>
            <w:r>
              <w:t xml:space="preserve">231</w:t>
            </w:r>
          </w:p>
        </w:tc>
        <w:tc>
          <w:tcPr/>
          <w:p>
            <w:pPr>
              <w:pStyle w:val="Compact"/>
            </w:pPr>
            <w:r>
              <w:t xml:space="preserve">228</w:t>
            </w:r>
          </w:p>
        </w:tc>
        <w:tc>
          <w:tcPr/>
          <w:p>
            <w:pPr>
              <w:pStyle w:val="Compact"/>
            </w:pPr>
          </w:p>
        </w:tc>
      </w:tr>
      <w:tr>
        <w:tc>
          <w:tcPr/>
          <w:p>
            <w:pPr>
              <w:pStyle w:val="Compact"/>
            </w:pPr>
            <w:r>
              <w:t xml:space="preserve">Storytelling</w:t>
            </w:r>
          </w:p>
        </w:tc>
        <w:tc>
          <w:tcPr/>
          <w:p>
            <w:pPr>
              <w:pStyle w:val="Compact"/>
            </w:pPr>
            <w:r>
              <w:t xml:space="preserve">184</w:t>
            </w:r>
          </w:p>
        </w:tc>
        <w:tc>
          <w:tcPr/>
          <w:p>
            <w:pPr>
              <w:pStyle w:val="Compact"/>
            </w:pPr>
            <w:r>
              <w:t xml:space="preserve">208</w:t>
            </w:r>
          </w:p>
        </w:tc>
        <w:tc>
          <w:tcPr/>
          <w:p>
            <w:pPr>
              <w:pStyle w:val="Compact"/>
            </w:pPr>
            <w:r>
              <w:t xml:space="preserve">251</w:t>
            </w:r>
          </w:p>
        </w:tc>
        <w:tc>
          <w:tcPr/>
          <w:p>
            <w:pPr>
              <w:pStyle w:val="Compact"/>
            </w:pPr>
            <w:r>
              <w:t xml:space="preserve">257</w:t>
            </w:r>
          </w:p>
        </w:tc>
        <w:tc>
          <w:tcPr/>
          <w:p>
            <w:pPr>
              <w:pStyle w:val="Compact"/>
            </w:pPr>
          </w:p>
        </w:tc>
      </w:tr>
      <w:tr>
        <w:tc>
          <w:tcPr/>
          <w:p>
            <w:pPr>
              <w:pStyle w:val="Compact"/>
            </w:pPr>
            <w:r>
              <w:rPr>
                <w:b/>
                <w:bCs/>
              </w:rPr>
              <w:t xml:space="preserve">Block Mean Sales (</w:t>
            </w:r>
            <m:oMath>
              <m:sSub>
                <m:e>
                  <m:acc>
                    <m:accPr>
                      <m:chr m:val="‾"/>
                    </m:accPr>
                    <m:e>
                      <m:r>
                        <m:t>y</m:t>
                      </m:r>
                    </m:e>
                  </m:acc>
                </m:e>
                <m:sub>
                  <m:r>
                    <m:rPr>
                      <m:sty m:val="p"/>
                    </m:rPr>
                    <m:t>⋅</m:t>
                  </m:r>
                  <m:r>
                    <m:t>m</m:t>
                  </m:r>
                </m:sub>
              </m:sSub>
            </m:oMath>
            <w:r>
              <w:t xml:space="preserve">)</w:t>
            </w:r>
          </w:p>
        </w:tc>
        <w:tc>
          <w:tcPr/>
          <w:p>
            <w:pPr>
              <w:pStyle w:val="Compact"/>
            </w:pPr>
          </w:p>
        </w:tc>
        <w:tc>
          <w:tcPr/>
          <w:p>
            <w:pPr>
              <w:pStyle w:val="Compact"/>
            </w:pPr>
          </w:p>
        </w:tc>
        <w:tc>
          <w:tcPr/>
          <w:p>
            <w:pPr>
              <w:pStyle w:val="Compact"/>
            </w:pPr>
          </w:p>
        </w:tc>
        <w:tc>
          <w:tcPr/>
          <w:p>
            <w:pPr>
              <w:pStyle w:val="Compact"/>
            </w:pPr>
          </w:p>
        </w:tc>
        <w:tc>
          <w:tcPr/>
          <w:p>
            <w:pPr>
              <w:pStyle w:val="Compact"/>
            </w:pPr>
            <m:oMath>
              <m:sSub>
                <m:e>
                  <m:acc>
                    <m:accPr>
                      <m:chr m:val="‾"/>
                    </m:accPr>
                    <m:e>
                      <m:r>
                        <m:t>y</m:t>
                      </m:r>
                    </m:e>
                  </m:acc>
                </m:e>
                <m:sub>
                  <m:r>
                    <m:rPr>
                      <m:sty m:val="p"/>
                    </m:rPr>
                    <m:t>⋅</m:t>
                  </m:r>
                  <m:r>
                    <m:rPr>
                      <m:sty m:val="p"/>
                    </m:rPr>
                    <m:t>⋅</m:t>
                  </m:r>
                </m:sub>
              </m:sSub>
              <m:r>
                <m:rPr>
                  <m:sty m:val="p"/>
                </m:rPr>
                <m:t>=</m:t>
              </m:r>
            </m:oMath>
          </w:p>
        </w:tc>
      </w:tr>
      <w:tr>
        <w:tc>
          <w:tcPr/>
          <w:p>
            <w:pPr>
              <w:pStyle w:val="Compact"/>
            </w:pPr>
            <w:r>
              <w:rPr>
                <w:b/>
                <w:bCs/>
              </w:rPr>
              <w:t xml:space="preserve">Block Effects</w:t>
            </w:r>
            <w:r>
              <w:t xml:space="preserve"> </w:t>
            </w:r>
            <w:r>
              <w:t xml:space="preserve">(</w:t>
            </w:r>
            <m:oMath>
              <m:sSub>
                <m:e>
                  <m:acc>
                    <m:accPr>
                      <m:chr m:val="̂"/>
                    </m:accPr>
                    <m:e>
                      <m:r>
                        <m:t>ρ</m:t>
                      </m:r>
                    </m:e>
                  </m:acc>
                </m:e>
                <m:sub>
                  <m:r>
                    <m:t>m</m:t>
                  </m:r>
                </m:sub>
              </m:sSub>
              <m:r>
                <m:rPr>
                  <m:sty m:val="p"/>
                </m:rPr>
                <m:t>=</m:t>
              </m:r>
              <m:sSub>
                <m:e>
                  <m:acc>
                    <m:accPr>
                      <m:chr m:val="‾"/>
                    </m:accPr>
                    <m:e>
                      <m:r>
                        <m:t>y</m:t>
                      </m:r>
                    </m:e>
                  </m:acc>
                </m:e>
                <m:sub>
                  <m:r>
                    <m:rPr>
                      <m:sty m:val="p"/>
                    </m:rPr>
                    <m:t>⋅</m:t>
                  </m:r>
                  <m:r>
                    <m:t>m</m:t>
                  </m:r>
                </m:sub>
              </m:sSub>
              <m:r>
                <m:rPr>
                  <m:sty m:val="p"/>
                </m:rPr>
                <m:t>−</m:t>
              </m:r>
              <m:sSub>
                <m:e>
                  <m:acc>
                    <m:accPr>
                      <m:chr m:val="‾"/>
                    </m:accPr>
                    <m:e>
                      <m:r>
                        <m:t>y</m:t>
                      </m:r>
                    </m:e>
                  </m:acc>
                </m:e>
                <m:sub>
                  <m:r>
                    <m:rPr>
                      <m:sty m:val="p"/>
                    </m:rPr>
                    <m:t>⋅</m:t>
                  </m:r>
                  <m:r>
                    <m:rPr>
                      <m:sty m:val="p"/>
                    </m:rPr>
                    <m:t>⋅</m:t>
                  </m:r>
                </m:sub>
              </m:sSub>
            </m:oMath>
            <w: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Applications/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Computations in R</w:t>
            </w:r>
          </w:p>
        </w:tc>
      </w:tr>
      <w:tr>
        <w:trPr>
          <w:cantSplit/>
        </w:trPr>
        <w:tc>
          <w:tcPr>
            <w:tcMar>
              <w:top w:w="108" w:type="dxa"/>
              <w:bottom w:w="108" w:type="dxa"/>
            </w:tcMar>
          </w:tcPr>
          <w:p>
            <w:pPr>
              <w:pStyle w:val="BodyText"/>
            </w:pPr>
            <w:pPr>
              <w:spacing w:before="16"/>
            </w:pPr>
            <w:r>
              <w:t xml:space="preserve">You can either do this computations with the data itself OR just using the numbers provided in the table above. You can use R as a calculator or any calculator your prefer… I would recommend using R as a calculator so that you can track exactly what you did and catch mistakes!</w:t>
            </w:r>
          </w:p>
          <w:p>
            <w:pPr>
              <w:pStyle w:val="BodyText"/>
            </w:pPr>
            <w:r>
              <w:t xml:space="preserve">I included one for you below. Putting the parethesis around the whole line prints the output as well as saving the object</w:t>
            </w:r>
            <w:r>
              <w:t xml:space="preserve"> </w:t>
            </w:r>
            <w:r>
              <w:rPr>
                <w:rStyle w:val="VerbatimChar"/>
              </w:rPr>
              <w:t xml:space="preserve">ybar1.</w:t>
            </w:r>
            <w:r>
              <w:t xml:space="preserve"> </w:t>
            </w:r>
            <w:r>
              <w:t xml:space="preserve">for use in a later calculation!</w:t>
            </w:r>
          </w:p>
          <w:p>
            <w:pPr>
              <w:pStyle w:val="BodyText"/>
            </w:pPr>
            <w:pPr>
              <w:spacing w:after="16"/>
            </w:pPr>
            <w:r>
              <w:rPr>
                <w:b/>
                <w:bCs/>
              </w:rPr>
              <w:t xml:space="preserve">Delete the R chunks if you don’t use them</w:t>
            </w:r>
          </w:p>
          <w:p/>
        </w:tc>
      </w:tr>
    </w:tbl>
    <w:bookmarkEnd w:id="29"/>
    <w:bookmarkStart w:id="30" w:name="Xea6e666a7f4b87a0aead16aa39b20d701559986"/>
    <w:p>
      <w:pPr>
        <w:pStyle w:val="Heading2"/>
      </w:pPr>
      <w:r>
        <w:t xml:space="preserve">6. Compute the treatment mean sales</w:t>
      </w:r>
      <w:r>
        <w:t xml:space="preserve"> </w:t>
      </w:r>
      <m:oMath>
        <m:sSub>
          <m:e>
            <m:acc>
              <m:accPr>
                <m:chr m:val="‾"/>
              </m:accPr>
              <m:e>
                <m:r>
                  <m:t>y</m:t>
                </m:r>
              </m:e>
            </m:acc>
          </m:e>
          <m:sub>
            <m:r>
              <m:t>i</m:t>
            </m:r>
            <m:r>
              <m:rPr>
                <m:sty m:val="p"/>
              </m:rPr>
              <m:t>⋅</m:t>
            </m:r>
          </m:sub>
        </m:sSub>
      </m:oMath>
      <w:r>
        <w:t xml:space="preserve"> </w:t>
      </w:r>
      <w:r>
        <w:t xml:space="preserve">for each advertising strategy. Record in the table above.</w:t>
      </w:r>
    </w:p>
    <w:bookmarkEnd w:id="30"/>
    <w:bookmarkStart w:id="31" w:name="Xe684c9c2d5dc15995a9efd9776b569857facfbb"/>
    <w:p>
      <w:pPr>
        <w:pStyle w:val="Heading2"/>
      </w:pPr>
      <w:r>
        <w:t xml:space="preserve">7. Compute the block mean sales</w:t>
      </w:r>
      <w:r>
        <w:t xml:space="preserve"> </w:t>
      </w:r>
      <m:oMath>
        <m:sSub>
          <m:e>
            <m:acc>
              <m:accPr>
                <m:chr m:val="‾"/>
              </m:accPr>
              <m:e>
                <m:r>
                  <m:t>y</m:t>
                </m:r>
              </m:e>
            </m:acc>
          </m:e>
          <m:sub>
            <m:r>
              <m:rPr>
                <m:sty m:val="p"/>
              </m:rPr>
              <m:t>⋅</m:t>
            </m:r>
            <m:r>
              <m:t>m</m:t>
            </m:r>
          </m:sub>
        </m:sSub>
      </m:oMath>
      <w:r>
        <w:t xml:space="preserve"> </w:t>
      </w:r>
      <w:r>
        <w:t xml:space="preserve">for each city size block. Record in the table above.</w:t>
      </w:r>
    </w:p>
    <w:bookmarkEnd w:id="31"/>
    <w:bookmarkStart w:id="32" w:name="X7dd3987cac05fdf76cad409ddfae3aa4a13c3c2"/>
    <w:p>
      <w:pPr>
        <w:pStyle w:val="Heading2"/>
      </w:pPr>
      <w:r>
        <w:t xml:space="preserve">8. Compute the overall mean sales volume</w:t>
      </w:r>
      <w:r>
        <w:t xml:space="preserve"> </w:t>
      </w:r>
      <m:oMath>
        <m:sSub>
          <m:e>
            <m:acc>
              <m:accPr>
                <m:chr m:val="‾"/>
              </m:accPr>
              <m:e>
                <m:r>
                  <m:t>y</m:t>
                </m:r>
              </m:e>
            </m:acc>
          </m:e>
          <m:sub>
            <m:r>
              <m:rPr>
                <m:sty m:val="p"/>
              </m:rPr>
              <m:t>⋅</m:t>
            </m:r>
            <m:r>
              <m:rPr>
                <m:sty m:val="p"/>
              </m:rPr>
              <m:t>⋅</m:t>
            </m:r>
          </m:sub>
        </m:sSub>
      </m:oMath>
      <w:r>
        <w:t xml:space="preserve"> </w:t>
      </w:r>
      <w:r>
        <w:t xml:space="preserve">. Record in the table above.</w:t>
      </w:r>
    </w:p>
    <w:bookmarkEnd w:id="32"/>
    <w:bookmarkEnd w:id="33"/>
    <w:bookmarkStart w:id="49" w:name="part-c-block-effects"/>
    <w:p>
      <w:pPr>
        <w:pStyle w:val="Heading1"/>
      </w:pPr>
      <w:r>
        <w:t xml:space="preserve">Part C: Block Effects</w:t>
      </w:r>
    </w:p>
    <w:bookmarkStart w:id="34" w:name="Xb0348841896c808af958b262bd3c32def8d72cf"/>
    <w:p>
      <w:pPr>
        <w:pStyle w:val="Heading2"/>
      </w:pPr>
      <w:r>
        <w:t xml:space="preserve">9. Compute the block effect for each block. Record in the table above.</w:t>
      </w:r>
    </w:p>
    <w:p>
      <w:pPr>
        <w:pStyle w:val="FirstParagraph"/>
      </w:pPr>
      <m:oMathPara>
        <m:oMathParaPr>
          <m:jc m:val="center"/>
        </m:oMathParaPr>
        <m:oMath>
          <m:sSub>
            <m:e>
              <m:acc>
                <m:accPr>
                  <m:chr m:val="̂"/>
                </m:accPr>
                <m:e>
                  <m:r>
                    <m:t>ρ</m:t>
                  </m:r>
                </m:e>
              </m:acc>
            </m:e>
            <m:sub>
              <m:r>
                <m:t>m</m:t>
              </m:r>
            </m:sub>
          </m:sSub>
          <m:r>
            <m:rPr>
              <m:sty m:val="p"/>
            </m:rPr>
            <m:t>=</m:t>
          </m:r>
          <m:sSub>
            <m:e>
              <m:acc>
                <m:accPr>
                  <m:chr m:val="‾"/>
                </m:accPr>
                <m:e>
                  <m:r>
                    <m:t>y</m:t>
                  </m:r>
                </m:e>
              </m:acc>
            </m:e>
            <m:sub>
              <m:r>
                <m:rPr>
                  <m:sty m:val="p"/>
                </m:rPr>
                <m:t>⋅</m:t>
              </m:r>
              <m:r>
                <m:t>m</m:t>
              </m:r>
            </m:sub>
          </m:sSub>
          <m:r>
            <m:rPr>
              <m:sty m:val="p"/>
            </m:rPr>
            <m:t>−</m:t>
          </m:r>
          <m:sSub>
            <m:e>
              <m:acc>
                <m:accPr>
                  <m:chr m:val="‾"/>
                </m:accPr>
                <m:e>
                  <m:r>
                    <m:t>y</m:t>
                  </m:r>
                </m:e>
              </m:acc>
            </m:e>
            <m:sub>
              <m:r>
                <m:rPr>
                  <m:sty m:val="p"/>
                </m:rPr>
                <m:t>⋅</m:t>
              </m:r>
              <m:r>
                <m:rPr>
                  <m:sty m:val="p"/>
                </m:rPr>
                <m:t>⋅</m:t>
              </m:r>
            </m:sub>
          </m:sSub>
        </m:oMath>
      </m:oMathPara>
    </w:p>
    <w:bookmarkEnd w:id="34"/>
    <w:bookmarkStart w:id="37" w:name="use-the-block-effects-to-compute-ssblk"/>
    <w:p>
      <w:pPr>
        <w:pStyle w:val="Heading2"/>
      </w:pPr>
      <w:r>
        <w:t xml:space="preserve">10. Use the block effects to compute SSBlk</w:t>
      </w:r>
    </w:p>
    <w:p>
      <w:pPr>
        <w:pStyle w:val="FirstParagraph"/>
      </w:pPr>
      <w:r>
        <w:rPr>
          <w:i/>
          <w:iCs/>
        </w:rPr>
        <w:t xml:space="preserve">Notice: the</w:t>
      </w:r>
      <w:r>
        <w:t xml:space="preserve"> </w:t>
      </w:r>
      <m:oMath>
        <m:r>
          <m:rPr>
            <m:sty m:val="p"/>
          </m:rPr>
          <m:t>(</m:t>
        </m:r>
        <m:sSub>
          <m:e>
            <m:acc>
              <m:accPr>
                <m:chr m:val="‾"/>
              </m:accPr>
              <m:e>
                <m:r>
                  <m:t>y</m:t>
                </m:r>
              </m:e>
            </m:acc>
          </m:e>
          <m:sub>
            <m:r>
              <m:rPr>
                <m:sty m:val="p"/>
              </m:rPr>
              <m:t>⋅</m:t>
            </m:r>
            <m:r>
              <m:t>m</m:t>
            </m:r>
          </m:sub>
        </m:sSub>
        <m:r>
          <m:rPr>
            <m:sty m:val="p"/>
          </m:rPr>
          <m:t>−</m:t>
        </m:r>
        <m:sSub>
          <m:e>
            <m:acc>
              <m:accPr>
                <m:chr m:val="‾"/>
              </m:accPr>
              <m:e>
                <m:r>
                  <m:t>y</m:t>
                </m:r>
              </m:e>
            </m:acc>
          </m:e>
          <m:sub>
            <m:r>
              <m:rPr>
                <m:sty m:val="p"/>
              </m:rPr>
              <m:t>⋅</m:t>
            </m:r>
            <m:r>
              <m:rPr>
                <m:sty m:val="p"/>
              </m:rPr>
              <m:t>⋅</m:t>
            </m:r>
          </m:sub>
        </m:sSub>
        <m:r>
          <m:rPr>
            <m:sty m:val="p"/>
          </m:rPr>
          <m:t>)</m:t>
        </m:r>
      </m:oMath>
      <w:r>
        <w:t xml:space="preserve"> </w:t>
      </w:r>
      <w:r>
        <w:t xml:space="preserve">inside the parentheses is the</w:t>
      </w:r>
      <w:r>
        <w:t xml:space="preserve"> </w:t>
      </w:r>
      <m:oMath>
        <m:sSub>
          <m:e>
            <m:acc>
              <m:accPr>
                <m:chr m:val="̂"/>
              </m:accPr>
              <m:e>
                <m:r>
                  <m:t>ρ</m:t>
                </m:r>
              </m:e>
            </m:acc>
          </m:e>
          <m:sub>
            <m:r>
              <m:t>m</m:t>
            </m:r>
          </m:sub>
        </m:sSub>
      </m:oMath>
      <w:r>
        <w:t xml:space="preserve"> </w:t>
      </w:r>
      <w:r>
        <w:t xml:space="preserve">you computed in (9).</w:t>
      </w:r>
    </w:p>
    <w:p>
      <w:pPr>
        <w:pStyle w:val="BodyText"/>
      </w:pPr>
      <m:oMathPara>
        <m:oMathParaPr>
          <m:jc m:val="center"/>
        </m:oMathParaPr>
        <m:oMath>
          <m:r>
            <m:t>S</m:t>
          </m:r>
          <m:r>
            <m:t>S</m:t>
          </m:r>
          <m:r>
            <m:t>B</m:t>
          </m:r>
          <m:r>
            <m:t>l</m:t>
          </m:r>
          <m:r>
            <m:t>k</m:t>
          </m:r>
          <m:r>
            <m:rPr>
              <m:sty m:val="p"/>
            </m:rPr>
            <m:t>=</m:t>
          </m:r>
          <m:r>
            <m:t>t</m:t>
          </m:r>
          <m:nary>
            <m:naryPr>
              <m:chr m:val="∑"/>
              <m:limLoc m:val="undOvr"/>
              <m:subHide m:val="off"/>
              <m:supHide m:val="on"/>
            </m:naryPr>
            <m:sub>
              <m:r>
                <m:t>m</m:t>
              </m:r>
            </m:sub>
            <m:sup>
              <m:r>
                <m:t>​</m:t>
              </m:r>
            </m:sup>
            <m:e>
              <m:r>
                <m:rPr>
                  <m:sty m:val="p"/>
                </m:rPr>
                <m:t>(</m:t>
              </m:r>
            </m:e>
          </m:nary>
          <m:sSub>
            <m:e>
              <m:acc>
                <m:accPr>
                  <m:chr m:val="‾"/>
                </m:accPr>
                <m:e>
                  <m:r>
                    <m:t>y</m:t>
                  </m:r>
                </m:e>
              </m:acc>
            </m:e>
            <m:sub>
              <m:r>
                <m:rPr>
                  <m:sty m:val="p"/>
                </m:rPr>
                <m:t>⋅</m:t>
              </m:r>
              <m:r>
                <m:t>m</m:t>
              </m:r>
            </m:sub>
          </m:sSub>
          <m:r>
            <m:rPr>
              <m:sty m:val="p"/>
            </m:rPr>
            <m:t>−</m:t>
          </m:r>
          <m:sSub>
            <m:e>
              <m:acc>
                <m:accPr>
                  <m:chr m:val="‾"/>
                </m:accPr>
                <m:e>
                  <m:r>
                    <m:t>y</m:t>
                  </m:r>
                </m:e>
              </m:acc>
            </m:e>
            <m:sub>
              <m:r>
                <m:rPr>
                  <m:sty m:val="p"/>
                </m:rPr>
                <m:t>⋅</m:t>
              </m:r>
              <m:r>
                <m:rPr>
                  <m:sty m:val="p"/>
                </m:rPr>
                <m:t>⋅</m:t>
              </m:r>
            </m:sub>
          </m:sSub>
          <m:sSup>
            <m:e>
              <m:r>
                <m:rPr>
                  <m:sty m:val="p"/>
                </m:rPr>
                <m:t>)</m:t>
              </m:r>
            </m:e>
            <m:sup>
              <m:r>
                <m:t>2</m:t>
              </m:r>
            </m:sup>
          </m:sSup>
          <m:r>
            <m:rPr>
              <m:sty m:val="p"/>
            </m:rPr>
            <m:t>=</m:t>
          </m:r>
        </m:oMath>
      </m:oMathPara>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 name="Picture"/>
                  <a:graphic>
                    <a:graphicData uri="http://schemas.openxmlformats.org/drawingml/2006/picture">
                      <pic:pic>
                        <pic:nvPicPr>
                          <pic:cNvPr descr="/Applications/quarto/share/formats/docx/note.png" id="3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Recall, the purpose of the block design is to “remove” the variation explained by the blocking variable from the SSE, thus reducing the experimental error variation (MSE).</w:t>
            </w:r>
          </w:p>
          <w:p/>
        </w:tc>
      </w:tr>
    </w:tbl>
    <w:bookmarkEnd w:id="37"/>
    <w:bookmarkStart w:id="38" w:name="part-d-block-adjusted-sales"/>
    <w:p>
      <w:pPr>
        <w:pStyle w:val="Heading2"/>
      </w:pPr>
      <w:r>
        <w:t xml:space="preserve">Part D: Block Adjusted Sales</w:t>
      </w:r>
    </w:p>
    <w:bookmarkEnd w:id="38"/>
    <w:bookmarkStart w:id="40" w:name="X019f8d2f20b5f7b693359e485c373d3a11b8880"/>
    <w:p>
      <w:pPr>
        <w:pStyle w:val="Heading2"/>
      </w:pPr>
      <w:r>
        <w:t xml:space="preserve">11. Using the block effects from the table above, adjust each observed sales volume value by the associated block effect</w:t>
      </w:r>
      <w:r>
        <w:t xml:space="preserve"> </w:t>
      </w:r>
      <m:oMath>
        <m:r>
          <m:rPr>
            <m:sty m:val="p"/>
          </m:rPr>
          <m:t>(</m:t>
        </m:r>
        <m:sSub>
          <m:e>
            <m:r>
              <m:t>y</m:t>
            </m:r>
          </m:e>
          <m:sub>
            <m:r>
              <m:t>i</m:t>
            </m:r>
            <m:r>
              <m:t>m</m:t>
            </m:r>
          </m:sub>
        </m:sSub>
        <m:r>
          <m:rPr>
            <m:sty m:val="p"/>
          </m:rPr>
          <m:t>−</m:t>
        </m:r>
        <m:sSub>
          <m:e>
            <m:r>
              <m:t>ρ</m:t>
            </m:r>
          </m:e>
          <m:sub>
            <m:r>
              <m:t>m</m:t>
            </m:r>
          </m:sub>
        </m:sSub>
        <m:r>
          <m:rPr>
            <m:sty m:val="p"/>
          </m:rPr>
          <m:t>)</m:t>
        </m:r>
      </m:oMath>
      <w:r>
        <w:t xml:space="preserve">. Record in the table below.</w:t>
      </w:r>
    </w:p>
    <w:p>
      <w:pPr>
        <w:pStyle w:val="FirstParagraph"/>
      </w:pPr>
      <w:r>
        <w:rPr>
          <w:i/>
          <w:iCs/>
        </w:rPr>
        <w:t xml:space="preserve">Note, you are essentially</w:t>
      </w:r>
      <w:r>
        <w:rPr>
          <w:i/>
          <w:iCs/>
        </w:rPr>
        <w:t xml:space="preserve"> </w:t>
      </w:r>
      <w:r>
        <w:rPr>
          <w:i/>
          <w:iCs/>
        </w:rPr>
        <w:t xml:space="preserve">“removing”</w:t>
      </w:r>
      <w:r>
        <w:rPr>
          <w:i/>
          <w:iCs/>
        </w:rPr>
        <w:t xml:space="preserve"> </w:t>
      </w:r>
      <w:r>
        <w:rPr>
          <w:i/>
          <w:iCs/>
        </w:rPr>
        <w:t xml:space="preserve">the effect of city from the sales.</w:t>
      </w:r>
    </w:p>
    <w:p>
      <w:r>
        <w:br w:type="page"/>
      </w:r>
    </w:p>
    <w:bookmarkStart w:id="39" w:name="block-adjusted-sales"/>
    <w:p>
      <w:pPr>
        <w:pStyle w:val="Heading3"/>
      </w:pPr>
      <w:r>
        <w:t xml:space="preserve">Block-adjusted Sales</w:t>
      </w:r>
    </w:p>
    <w:tbl>
      <w:tblPr>
        <w:tblStyle w:val="Table"/>
        <w:tblW w:type="pct" w:w="4836"/>
        <w:tblLayout w:type="fixed"/>
        <w:tblLook w:firstRow="1" w:lastRow="0" w:firstColumn="0" w:lastColumn="0" w:noHBand="0" w:noVBand="0" w:val="0020"/>
      </w:tblPr>
      <w:tblGrid>
        <w:gridCol w:w="1493"/>
        <w:gridCol w:w="1622"/>
        <w:gridCol w:w="908"/>
        <w:gridCol w:w="908"/>
        <w:gridCol w:w="1558"/>
        <w:gridCol w:w="1168"/>
      </w:tblGrid>
      <w:tr>
        <w:trPr>
          <w:tblHeader w:val="on"/>
        </w:trPr>
        <w:tc>
          <w:tcPr/>
          <w:p>
            <w:pPr>
              <w:pStyle w:val="Compact"/>
            </w:pPr>
            <w:r>
              <w:t xml:space="preserve">Advertising Strategy</w:t>
            </w:r>
          </w:p>
        </w:tc>
        <w:tc>
          <w:tcPr/>
          <w:p>
            <w:pPr>
              <w:pStyle w:val="Compact"/>
            </w:pPr>
            <w:r>
              <w:t xml:space="preserve">Block m = 1 (Smallest)</w:t>
            </w:r>
          </w:p>
        </w:tc>
        <w:tc>
          <w:tcPr/>
          <w:p>
            <w:pPr>
              <w:pStyle w:val="Compact"/>
            </w:pPr>
            <w:r>
              <w:t xml:space="preserve">Block m = 2</w:t>
            </w:r>
          </w:p>
        </w:tc>
        <w:tc>
          <w:tcPr/>
          <w:p>
            <w:pPr>
              <w:pStyle w:val="Compact"/>
            </w:pPr>
            <w:r>
              <w:t xml:space="preserve">Block m = 3</w:t>
            </w:r>
          </w:p>
        </w:tc>
        <w:tc>
          <w:tcPr/>
          <w:p>
            <w:pPr>
              <w:pStyle w:val="Compact"/>
            </w:pPr>
            <w:r>
              <w:t xml:space="preserve">Block m = 4 (Largest)</w:t>
            </w:r>
          </w:p>
        </w:tc>
        <w:tc>
          <w:tcPr/>
          <w:p>
            <w:pPr>
              <w:pStyle w:val="Compact"/>
            </w:pPr>
            <w:r>
              <w:t xml:space="preserve">Block-adjusted</w:t>
            </w:r>
            <w:r>
              <w:br/>
            </w:r>
            <w:r>
              <w:t xml:space="preserve">Treatment Mean</w:t>
            </w:r>
            <w:r>
              <w:br/>
            </w:r>
            <w:r>
              <w:t xml:space="preserve">Sales</w:t>
            </w:r>
          </w:p>
        </w:tc>
      </w:tr>
      <w:tr>
        <w:tc>
          <w:tcPr/>
          <w:p>
            <w:pPr>
              <w:pStyle w:val="Compact"/>
            </w:pPr>
            <w:r>
              <w:t xml:space="preserve">Digital</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Discount</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Events</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t xml:space="preserve">Storytelling</w:t>
            </w: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39"/>
    <w:bookmarkEnd w:id="40"/>
    <w:bookmarkStart w:id="44" w:name="Xf23854cf5b8ee3e0416c494a6db26394a5e78f4"/>
    <w:p>
      <w:pPr>
        <w:pStyle w:val="Heading2"/>
      </w:pPr>
      <w:r>
        <w:t xml:space="preserve">12. Calculate the block adjusted mean sales. Record in the table above.</w:t>
      </w:r>
    </w:p>
    <w:p>
      <w:pPr>
        <w:pStyle w:val="Compact"/>
        <w:numPr>
          <w:ilvl w:val="0"/>
          <w:numId w:val="1004"/>
        </w:numPr>
      </w:pPr>
      <w:r>
        <w:t xml:space="preserve">What do you notice about the block-adjusted mean sales compared to the original mean sales?</w:t>
      </w:r>
      <w:r>
        <w:t xml:space="preserve"> </w:t>
      </w:r>
    </w:p>
    <w:p>
      <w:pPr>
        <w:pStyle w:val="Compact"/>
        <w:numPr>
          <w:ilvl w:val="0"/>
          <w:numId w:val="1004"/>
        </w:numPr>
      </w:pPr>
      <w:r>
        <w:t xml:space="preserve">Would the SSTrt change when using the block-adjusted mean sales? Recall</w:t>
      </w:r>
      <w:r>
        <w:t xml:space="preserve"> </w:t>
      </w:r>
      <m:oMath>
        <m:r>
          <m:t>S</m:t>
        </m:r>
        <m:r>
          <m:t>S</m:t>
        </m:r>
        <m:r>
          <m:t>T</m:t>
        </m:r>
        <m:r>
          <m:t>r</m:t>
        </m:r>
        <m:r>
          <m:t>t</m:t>
        </m:r>
        <m:r>
          <m:rPr>
            <m:sty m:val="p"/>
          </m:rPr>
          <m:t>=</m:t>
        </m:r>
        <m:r>
          <m:t>M</m:t>
        </m:r>
        <m:nary>
          <m:naryPr>
            <m:chr m:val="∑"/>
            <m:limLoc m:val="undOvr"/>
            <m:subHide m:val="off"/>
            <m:supHide m:val="on"/>
          </m:naryPr>
          <m:sub>
            <m:r>
              <m:t>i</m:t>
            </m:r>
          </m:sub>
          <m:sup>
            <m:r>
              <m:t>​</m:t>
            </m:r>
          </m:sup>
          <m:e>
            <m:r>
              <m:rPr>
                <m:sty m:val="p"/>
              </m:rPr>
              <m:t>(</m:t>
            </m:r>
          </m:e>
        </m:nary>
        <m:sSub>
          <m:e>
            <m:acc>
              <m:accPr>
                <m:chr m:val="‾"/>
              </m:accPr>
              <m:e>
                <m:r>
                  <m:t>y</m:t>
                </m:r>
              </m:e>
            </m:acc>
          </m:e>
          <m:sub>
            <m:r>
              <m:t>i</m:t>
            </m:r>
            <m:r>
              <m:rPr>
                <m:sty m:val="p"/>
              </m:rPr>
              <m:t>⋅</m:t>
            </m:r>
          </m:sub>
        </m:sSub>
        <m:r>
          <m:rPr>
            <m:sty m:val="p"/>
          </m:rPr>
          <m:t>−</m:t>
        </m:r>
        <m:sSub>
          <m:e>
            <m:acc>
              <m:accPr>
                <m:chr m:val="‾"/>
              </m:accPr>
              <m:e>
                <m:r>
                  <m:t>y</m:t>
                </m:r>
              </m:e>
            </m:acc>
          </m:e>
          <m:sub>
            <m:r>
              <m:rPr>
                <m:sty m:val="p"/>
              </m:rPr>
              <m:t>⋅</m:t>
            </m:r>
            <m:r>
              <m:rPr>
                <m:sty m:val="p"/>
              </m:rPr>
              <m:t>⋅</m:t>
            </m:r>
          </m:sub>
        </m:sSub>
        <m:sSup>
          <m:e>
            <m:r>
              <m:rPr>
                <m:sty m:val="p"/>
              </m:rPr>
              <m:t>)</m:t>
            </m:r>
          </m:e>
          <m:sup>
            <m:r>
              <m:t>2</m:t>
            </m:r>
          </m:sup>
        </m:sSup>
      </m:oMath>
      <w:r>
        <w:t xml:space="preserve">.</w:t>
      </w:r>
      <w:r>
        <w:t xml:space="preserve"> </w:t>
      </w:r>
      <w:r>
        <w:t xml:space="preserve"> </w:t>
      </w:r>
      <w:r>
        <w:t xml:space="preserve">## 13. What do you notice about the variability of the block-adjusted sales within each advertising strategy compared to the original variability of sales (without block-adjusted sales)?</w:t>
      </w:r>
    </w:p>
    <w:p>
      <w:pPr>
        <w:pStyle w:val="FirstParagraph"/>
      </w:pPr>
      <w:r>
        <w:drawing>
          <wp:inline>
            <wp:extent cx="3467100" cy="1779901"/>
            <wp:effectExtent b="0" l="0" r="0" t="0"/>
            <wp:docPr descr="" title="" id="42" name="Picture"/>
            <a:graphic>
              <a:graphicData uri="http://schemas.openxmlformats.org/drawingml/2006/picture">
                <pic:pic>
                  <pic:nvPicPr>
                    <pic:cNvPr descr="https://github.com/earobinson95/stat323-calpoly/blob/main/flipped-style/05-rcbd/images/block-adjusted-figure-city-size.png?raw=true" id="43" name="Picture"/>
                    <pic:cNvPicPr>
                      <a:picLocks noChangeArrowheads="1" noChangeAspect="1"/>
                    </pic:cNvPicPr>
                  </pic:nvPicPr>
                  <pic:blipFill>
                    <a:blip r:embed="rId41"/>
                    <a:stretch>
                      <a:fillRect/>
                    </a:stretch>
                  </pic:blipFill>
                  <pic:spPr bwMode="auto">
                    <a:xfrm>
                      <a:off x="0" y="0"/>
                      <a:ext cx="3467100" cy="1779901"/>
                    </a:xfrm>
                    <a:prstGeom prst="rect">
                      <a:avLst/>
                    </a:prstGeom>
                    <a:noFill/>
                    <a:ln w="9525">
                      <a:noFill/>
                      <a:headEnd/>
                      <a:tailEnd/>
                    </a:ln>
                  </pic:spPr>
                </pic:pic>
              </a:graphicData>
            </a:graphic>
          </wp:inline>
        </w:drawing>
      </w:r>
    </w:p>
    <w:bookmarkEnd w:id="44"/>
    <w:bookmarkStart w:id="45" w:name="part-e-rcbd-analysis"/>
    <w:p>
      <w:pPr>
        <w:pStyle w:val="Heading2"/>
      </w:pPr>
      <w:r>
        <w:t xml:space="preserve">Part E: RCBD Analysis</w:t>
      </w:r>
    </w:p>
    <w:p>
      <w:pPr>
        <w:pStyle w:val="FirstParagraph"/>
      </w:pPr>
      <w:r>
        <w:t xml:space="preserve">Consider the statistical effects model that accounts for the block effect.</w:t>
      </w:r>
    </w:p>
    <w:p>
      <w:pPr>
        <w:pStyle w:val="BodyText"/>
      </w:pPr>
      <m:oMathPara>
        <m:oMathParaPr>
          <m:jc m:val="center"/>
        </m:oMathParaPr>
        <m:oMath>
          <m:sSub>
            <m:e>
              <m:r>
                <m:t>y</m:t>
              </m:r>
            </m:e>
            <m:sub>
              <m:r>
                <m:t>i</m:t>
              </m:r>
              <m:r>
                <m:t>m</m:t>
              </m:r>
            </m:sub>
          </m:sSub>
          <m:r>
            <m:rPr>
              <m:sty m:val="p"/>
            </m:rPr>
            <m:t>=</m:t>
          </m:r>
          <m:r>
            <m:t>μ</m:t>
          </m:r>
          <m:r>
            <m:rPr>
              <m:sty m:val="p"/>
            </m:rPr>
            <m:t>+</m:t>
          </m:r>
          <m:sSub>
            <m:e>
              <m:r>
                <m:t>τ</m:t>
              </m:r>
            </m:e>
            <m:sub>
              <m:r>
                <m:t>i</m:t>
              </m:r>
            </m:sub>
          </m:sSub>
          <m:r>
            <m:rPr>
              <m:sty m:val="p"/>
            </m:rPr>
            <m:t>+</m:t>
          </m:r>
          <m:sSub>
            <m:e>
              <m:r>
                <m:t>ρ</m:t>
              </m:r>
            </m:e>
            <m:sub>
              <m:r>
                <m:t>m</m:t>
              </m:r>
            </m:sub>
          </m:sSub>
          <m:r>
            <m:rPr>
              <m:sty m:val="p"/>
            </m:rPr>
            <m:t>+</m:t>
          </m:r>
          <m:sSub>
            <m:e>
              <m:r>
                <m:t>ϵ</m:t>
              </m:r>
            </m:e>
            <m:sub>
              <m:r>
                <m:t>i</m:t>
              </m:r>
              <m:r>
                <m:t>m</m:t>
              </m:r>
            </m:sub>
          </m:sSub>
          <m:r>
            <m:rPr>
              <m:nor/>
              <m:sty m:val="p"/>
            </m:rPr>
            <m:t> with </m:t>
          </m:r>
          <m:sSub>
            <m:e>
              <m:r>
                <m:t>ϵ</m:t>
              </m:r>
            </m:e>
            <m:sub>
              <m:r>
                <m:t>i</m:t>
              </m:r>
              <m:r>
                <m:t>m</m:t>
              </m:r>
            </m:sub>
          </m:sSub>
          <m:limUpp>
            <m:e>
              <m:r>
                <m:rPr>
                  <m:sty m:val="p"/>
                </m:rPr>
                <m:t>∼</m:t>
              </m:r>
            </m:e>
            <m:lim>
              <m:r>
                <m:rPr>
                  <m:nor/>
                  <m:sty m:val="p"/>
                </m:rPr>
                <m:t>iid</m:t>
              </m:r>
            </m:lim>
          </m:limUpp>
          <m:r>
            <m:t>N</m:t>
          </m:r>
          <m:r>
            <m:rPr>
              <m:sty m:val="p"/>
            </m:rPr>
            <m:t>(</m:t>
          </m:r>
          <m:r>
            <m:t>0</m:t>
          </m:r>
          <m:r>
            <m:rPr>
              <m:sty m:val="p"/>
            </m:rPr>
            <m:t>,</m:t>
          </m:r>
          <m:sSup>
            <m:e>
              <m:r>
                <m:t>σ</m:t>
              </m:r>
            </m:e>
            <m:sup>
              <m:r>
                <m:t>2</m:t>
              </m:r>
            </m:sup>
          </m:sSup>
          <m:r>
            <m:rPr>
              <m:sty m:val="p"/>
            </m:rPr>
            <m:t>)</m:t>
          </m:r>
        </m:oMath>
      </m:oMathPara>
    </w:p>
    <w:p>
      <w:pPr>
        <w:pStyle w:val="FirstParagraph"/>
      </w:pPr>
      <w:r>
        <w:t xml:space="preserve">for</w:t>
      </w:r>
      <w:r>
        <w:t xml:space="preserve"> </w:t>
      </w:r>
      <m:oMath>
        <m:r>
          <m:t>i</m:t>
        </m:r>
        <m:r>
          <m:rPr>
            <m:sty m:val="p"/>
          </m:rPr>
          <m:t>=</m:t>
        </m:r>
        <m:r>
          <m:t>1</m:t>
        </m:r>
        <m:r>
          <m:rPr>
            <m:sty m:val="p"/>
          </m:rPr>
          <m:t>,</m:t>
        </m:r>
        <m:r>
          <m:t>2</m:t>
        </m:r>
        <m:r>
          <m:rPr>
            <m:sty m:val="p"/>
          </m:rPr>
          <m:t>,</m:t>
        </m:r>
        <m:r>
          <m:t>3</m:t>
        </m:r>
        <m:r>
          <m:rPr>
            <m:sty m:val="p"/>
          </m:rPr>
          <m:t>,</m:t>
        </m:r>
        <m:r>
          <m:t>4</m:t>
        </m:r>
      </m:oMath>
      <w:r>
        <w:t xml:space="preserve"> </w:t>
      </w:r>
      <w:r>
        <w:t xml:space="preserve">and</w:t>
      </w:r>
      <w:r>
        <w:t xml:space="preserve"> </w:t>
      </w:r>
      <m:oMath>
        <m:r>
          <m:t>m</m:t>
        </m:r>
        <m:r>
          <m:rPr>
            <m:sty m:val="p"/>
          </m:rPr>
          <m:t>=</m:t>
        </m:r>
        <m:r>
          <m:t>1</m:t>
        </m:r>
        <m:r>
          <m:rPr>
            <m:sty m:val="p"/>
          </m:rPr>
          <m:t>,</m:t>
        </m:r>
        <m:r>
          <m:t>2</m:t>
        </m:r>
        <m:r>
          <m:rPr>
            <m:sty m:val="p"/>
          </m:rPr>
          <m:t>,</m:t>
        </m:r>
        <m:r>
          <m:t>3</m:t>
        </m:r>
        <m:r>
          <m:rPr>
            <m:sty m:val="p"/>
          </m:rPr>
          <m:t>,</m:t>
        </m:r>
        <m:r>
          <m:t>4</m:t>
        </m:r>
      </m:oMath>
    </w:p>
    <w:bookmarkEnd w:id="45"/>
    <w:bookmarkStart w:id="46" w:name="complete-the-skeleton-anova-below"/>
    <w:p>
      <w:pPr>
        <w:pStyle w:val="Heading2"/>
      </w:pPr>
      <w:r>
        <w:t xml:space="preserve">14. Complete the skeleton ANOVA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 of Variation</w:t>
            </w:r>
          </w:p>
        </w:tc>
        <w:tc>
          <w:tcPr/>
          <w:p>
            <w:pPr>
              <w:pStyle w:val="Compact"/>
            </w:pPr>
            <w:r>
              <w:t xml:space="preserve">DF: Total = _________</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bookmarkEnd w:id="46"/>
    <w:bookmarkStart w:id="47" w:name="X41c068e50913c8e166900d769ceb9493051ede5"/>
    <w:p>
      <w:pPr>
        <w:pStyle w:val="Heading2"/>
      </w:pPr>
      <w:r>
        <w:t xml:space="preserve">15. Use R to fit the statistical effects model specified above. Record the following:</w:t>
      </w:r>
    </w:p>
    <w:p>
      <w:pPr>
        <w:pStyle w:val="Compact"/>
        <w:numPr>
          <w:ilvl w:val="0"/>
          <w:numId w:val="1005"/>
        </w:numPr>
      </w:pPr>
      <w:r>
        <w:t xml:space="preserve">SSE = __________</w:t>
      </w:r>
    </w:p>
    <w:p>
      <w:pPr>
        <w:pStyle w:val="Compact"/>
        <w:numPr>
          <w:ilvl w:val="0"/>
          <w:numId w:val="1005"/>
        </w:numPr>
      </w:pPr>
      <w:r>
        <w:t xml:space="preserve">MSE =</w:t>
      </w:r>
      <w:r>
        <w:t xml:space="preserve"> </w:t>
      </w:r>
      <m:oMath>
        <m:sSup>
          <m:e>
            <m:acc>
              <m:accPr>
                <m:chr m:val="̂"/>
              </m:accPr>
              <m:e>
                <m:r>
                  <m:t>σ</m:t>
                </m:r>
              </m:e>
            </m:acc>
          </m:e>
          <m:sup>
            <m:r>
              <m:t>2</m:t>
            </m:r>
          </m:sup>
        </m:sSup>
      </m:oMath>
      <w:r>
        <w:t xml:space="preserve"> </w:t>
      </w:r>
      <w:r>
        <w:t xml:space="preserve">= __________</w:t>
      </w:r>
    </w:p>
    <w:bookmarkEnd w:id="47"/>
    <w:bookmarkStart w:id="48" w:name="Xe838e6aee5ba4bd1d1fbf3ea6dbcf0291bf1529"/>
    <w:p>
      <w:pPr>
        <w:pStyle w:val="Heading2"/>
      </w:pPr>
      <w:r>
        <w:t xml:space="preserve">16. How does your experimental error in (15) using the statistical effects model to account for the block effect compare to the experimental error calculated in (5) ignoring the effect of block?</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image" Id="rId26" Target="media/rId26.png" /><Relationship Type="http://schemas.openxmlformats.org/officeDocument/2006/relationships/image" Id="rId9" Target="media/rId9.png" /><Relationship Type="http://schemas.openxmlformats.org/officeDocument/2006/relationships/image" Id="rId41" Target="media/rId41.png" /><Relationship Type="http://schemas.openxmlformats.org/officeDocument/2006/relationships/hyperlink" Id="rId13" Target="../_data/05-advertising_sales_data.csv" TargetMode="External" /><Relationship Type="http://schemas.openxmlformats.org/officeDocument/2006/relationships/hyperlink" Id="rId12" Target="../student/05.1-activity-reducing-variability-with-blocking.qmd" TargetMode="External" /></Relationships>
</file>

<file path=word/_rels/footnotes.xml.rels><?xml version="1.0" encoding="UTF-8"?><Relationships xmlns="http://schemas.openxmlformats.org/package/2006/relationships"><Relationship Type="http://schemas.openxmlformats.org/officeDocument/2006/relationships/hyperlink" Id="rId13" Target="../_data/05-advertising_sales_data.csv" TargetMode="External" /><Relationship Type="http://schemas.openxmlformats.org/officeDocument/2006/relationships/hyperlink" Id="rId12" Target="../student/05.1-activity-reducing-variability-with-blocking.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5.1: Reducing Variability with Blocking</dc:title>
  <dc:creator/>
  <cp:keywords/>
  <dcterms:created xsi:type="dcterms:W3CDTF">2026-09-23T17:51:45Z</dcterms:created>
  <dcterms:modified xsi:type="dcterms:W3CDTF">2026-09-23T17:51:45Z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source</vt:lpwstr>
  </property>
  <property fmtid="{D5CDD505-2E9C-101B-9397-08002B2CF9AE}" pid="4" name="engines">
    <vt:lpwstr/>
  </property>
  <property fmtid="{D5CDD505-2E9C-101B-9397-08002B2CF9AE}" pid="5" name="execute">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Advertising Strategies</vt:lpwstr>
  </property>
  <property fmtid="{D5CDD505-2E9C-101B-9397-08002B2CF9AE}" pid="11" name="toc-title">
    <vt:lpwstr>Table of contents</vt:lpwstr>
  </property>
</Properties>
</file>