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6B63"/>
          <w:sz w:val="64"/>
          <w:szCs w:val="64"/>
        </w:rPr>
        <w:t xml:space="preserve">VitalLead</w:t>
      </w:r>
    </w:p>
    <w:p>
      <w:pPr>
        <w:spacing w:after="400" w:before="120"/>
        <w:jc w:val="center"/>
      </w:pPr>
      <w:r>
        <w:rPr>
          <w:color w:val="5B5A4C"/>
          <w:sz w:val="30"/>
          <w:szCs w:val="30"/>
        </w:rPr>
        <w:t xml:space="preserve">AI-Powered Patient Intake &amp; Lead Intelligence System</w:t>
      </w:r>
    </w:p>
    <w:p>
      <w:pPr>
        <w:spacing w:before="1600"/>
        <w:jc w:val="center"/>
      </w:pPr>
      <w:r>
        <w:rPr>
          <w:b/>
          <w:bCs/>
          <w:color w:val="1F2E28"/>
          <w:sz w:val="24"/>
          <w:szCs w:val="24"/>
        </w:rPr>
        <w:t xml:space="preserve">Project Documentation</w:t>
      </w:r>
    </w:p>
    <w:p>
      <w:pPr>
        <w:spacing w:before="100"/>
        <w:jc w:val="center"/>
      </w:pPr>
      <w:r>
        <w:rPr>
          <w:color w:val="1F2E28"/>
          <w:sz w:val="22"/>
          <w:szCs w:val="22"/>
        </w:rPr>
        <w:t xml:space="preserve">Manne Teja</w:t>
      </w:r>
    </w:p>
    <w:p>
      <w:pPr>
        <w:jc w:val="center"/>
      </w:pPr>
      <w:r>
        <w:rPr>
          <w:color w:val="5B5A4C"/>
          <w:sz w:val="20"/>
          <w:szCs w:val="20"/>
        </w:rPr>
        <w:t xml:space="preserve">B.Tech Information Technology · Vardhaman College of Engineering</w:t>
      </w:r>
    </w:p>
    <w:p>
      <w:pPr>
        <w:jc w:val="center"/>
      </w:pPr>
      <w:r>
        <w:rPr>
          <w:color w:val="5B5A4C"/>
          <w:sz w:val="20"/>
          <w:szCs w:val="20"/>
        </w:rPr>
        <w:t xml:space="preserve">Infosys Springboard Virtual Internship 7.0</w:t>
      </w:r>
    </w:p>
    <w:p>
      <w:r>
        <w:br w:type="page"/>
      </w:r>
    </w:p>
    <w:p>
      <w:pPr>
        <w:pStyle w:val="Heading1"/>
        <w:spacing w:after="160" w:before="300"/>
      </w:pPr>
      <w:r>
        <w:t xml:space="preserve">1. Abstract</w:t>
      </w:r>
    </w:p>
    <w:p>
      <w:pPr>
        <w:spacing w:after="160"/>
      </w:pPr>
      <w:r>
        <w:rPr>
          <w:color w:val="1F2E28"/>
          <w:sz w:val="22"/>
          <w:szCs w:val="22"/>
        </w:rPr>
        <w:t xml:space="preserve">VitalLead is a patient intake and lead-intelligence web application for hospitals and clinics. It adapts a sales-CRM lead-management workflow (lead registration, profiling, scoring, AI-driven recommendations, automated outreach, and analytics) to a healthcare intake context, giving front-desk and care-coordination teams a single system to register incoming patients, understand their clinical and coverage profile, prioritise who needs contact first, and track every interaction from intake through discharge.</w:t>
      </w:r>
    </w:p>
    <w:p>
      <w:pPr>
        <w:spacing w:after="160"/>
      </w:pPr>
      <w:r>
        <w:rPr>
          <w:color w:val="1F2E28"/>
          <w:sz w:val="22"/>
          <w:szCs w:val="22"/>
        </w:rPr>
        <w:t xml:space="preserve">The system computes a transparent, rule-based Priority Score for every patient using admission type, diagnostic test outcome, condition severity, age, and admission recency, then classifies each patient into Critical, High, Moderate, or Routine priority — mirroring how a sales lead-scoring engine ranks prospects, but tuned to clinical urgency instead of purchase intent.</w:t>
      </w:r>
    </w:p>
    <w:p>
      <w:pPr>
        <w:pStyle w:val="Heading1"/>
        <w:spacing w:after="160" w:before="300"/>
      </w:pPr>
      <w:r>
        <w:t xml:space="preserve">2. Problem Statement</w:t>
      </w:r>
    </w:p>
    <w:p>
      <w:pPr>
        <w:spacing w:after="160"/>
      </w:pPr>
      <w:r>
        <w:rPr>
          <w:color w:val="1F2E28"/>
          <w:sz w:val="22"/>
          <w:szCs w:val="22"/>
        </w:rPr>
        <w:t xml:space="preserve">Hospitals and clinics generate patient intake data from multiple channels — hospital websites, referrals, insurance portals, walk-ins, and outreach camps — but this information is often scattered across registers, spreadsheets, and disconnected systems. Front-desk and care-coordination staff have no single, prioritised view of which patients need immediate follow-up, which are awaiting discharge review, or which have unresolved abnormal test results. VitalLead addresses this by centralising patient intake records and automatically surfacing the patients who need attention first.</w:t>
      </w:r>
    </w:p>
    <w:p>
      <w:pPr>
        <w:pStyle w:val="Heading1"/>
        <w:spacing w:after="160" w:before="300"/>
      </w:pPr>
      <w:r>
        <w:t xml:space="preserve">3. Objectives</w:t>
      </w:r>
    </w:p>
    <w:p>
      <w:pPr>
        <w:pStyle w:val="ListParagraph"/>
        <w:numPr>
          <w:ilvl w:val="0"/>
          <w:numId w:val="2"/>
        </w:numPr>
        <w:spacing w:after="80"/>
      </w:pPr>
      <w:r>
        <w:t xml:space="preserve">Centralise patient intake, demographic, and admission data in one system.</w:t>
      </w:r>
    </w:p>
    <w:p>
      <w:pPr>
        <w:pStyle w:val="ListParagraph"/>
        <w:numPr>
          <w:ilvl w:val="0"/>
          <w:numId w:val="2"/>
        </w:numPr>
        <w:spacing w:after="80"/>
      </w:pPr>
      <w:r>
        <w:t xml:space="preserve">Automatically score and prioritise patients using a transparent, explainable rule-based model.</w:t>
      </w:r>
    </w:p>
    <w:p>
      <w:pPr>
        <w:pStyle w:val="ListParagraph"/>
        <w:numPr>
          <w:ilvl w:val="0"/>
          <w:numId w:val="2"/>
        </w:numPr>
        <w:spacing w:after="80"/>
      </w:pPr>
      <w:r>
        <w:t xml:space="preserve">Generate AI-style care recommendations and personalised outreach drafts for each patient.</w:t>
      </w:r>
    </w:p>
    <w:p>
      <w:pPr>
        <w:pStyle w:val="ListParagraph"/>
        <w:numPr>
          <w:ilvl w:val="0"/>
          <w:numId w:val="2"/>
        </w:numPr>
        <w:spacing w:after="80"/>
      </w:pPr>
      <w:r>
        <w:t xml:space="preserve">Maintain a complete engagement/interaction history per patient.</w:t>
      </w:r>
    </w:p>
    <w:p>
      <w:pPr>
        <w:pStyle w:val="ListParagraph"/>
        <w:numPr>
          <w:ilvl w:val="0"/>
          <w:numId w:val="2"/>
        </w:numPr>
        <w:spacing w:after="80"/>
      </w:pPr>
      <w:r>
        <w:t xml:space="preserve">Provide a real-time analytics dashboard for hospital administrators.</w:t>
      </w:r>
    </w:p>
    <w:p>
      <w:pPr>
        <w:pStyle w:val="ListParagraph"/>
        <w:numPr>
          <w:ilvl w:val="0"/>
          <w:numId w:val="2"/>
        </w:numPr>
        <w:spacing w:after="80"/>
      </w:pPr>
      <w:r>
        <w:t xml:space="preserve">Support import of real-world healthcare datasets for testing and demonstration.</w:t>
      </w:r>
    </w:p>
    <w:p>
      <w:pPr>
        <w:pStyle w:val="Heading1"/>
        <w:spacing w:after="160" w:before="300"/>
      </w:pPr>
      <w:r>
        <w:t xml:space="preserve">4. System Modules</w:t>
      </w:r>
    </w:p>
    <w:p>
      <w:pPr>
        <w:pStyle w:val="Heading2"/>
        <w:spacing w:after="120" w:before="220"/>
      </w:pPr>
      <w:r>
        <w:t xml:space="preserve">Module 1 — Patient Registration &amp; Lead Database</w:t>
      </w:r>
    </w:p>
    <w:p>
      <w:pPr>
        <w:spacing w:after="160"/>
      </w:pPr>
      <w:r>
        <w:rPr>
          <w:color w:val="1F2E28"/>
          <w:sz w:val="22"/>
          <w:szCs w:val="22"/>
        </w:rPr>
        <w:t xml:space="preserve">Captures new patient leads from multiple intake sources (hospital website, referral, insurance portal, walk-in, telehealth, outreach camp) and stores them in a searchable, filterable patient database.</w:t>
      </w:r>
    </w:p>
    <w:p>
      <w:pPr>
        <w:pStyle w:val="Heading2"/>
        <w:spacing w:after="120" w:before="220"/>
      </w:pPr>
      <w:r>
        <w:t xml:space="preserve">Module 2 — Patient &amp; Facility Profiling</w:t>
      </w:r>
    </w:p>
    <w:p>
      <w:pPr>
        <w:spacing w:after="160"/>
      </w:pPr>
      <w:r>
        <w:rPr>
          <w:color w:val="1F2E28"/>
          <w:sz w:val="22"/>
          <w:szCs w:val="22"/>
        </w:rPr>
        <w:t xml:space="preserve">Stores structured demographic and facility information: age, gender, blood type, medical condition, hospital, assigned doctor, and room allocation — the healthcare equivalent of company-profile data in a sales CRM.</w:t>
      </w:r>
    </w:p>
    <w:p>
      <w:pPr>
        <w:pStyle w:val="Heading2"/>
        <w:spacing w:after="120" w:before="220"/>
      </w:pPr>
      <w:r>
        <w:t xml:space="preserve">Module 3 — Coverage &amp; Billing Management</w:t>
      </w:r>
    </w:p>
    <w:p>
      <w:pPr>
        <w:spacing w:after="160"/>
      </w:pPr>
      <w:r>
        <w:rPr>
          <w:color w:val="1F2E28"/>
          <w:sz w:val="22"/>
          <w:szCs w:val="22"/>
        </w:rPr>
        <w:t xml:space="preserve">Tracks insurance provider, billing amount, admission type, and admission/discharge dates for each patient record.</w:t>
      </w:r>
    </w:p>
    <w:p>
      <w:pPr>
        <w:pStyle w:val="Heading2"/>
        <w:spacing w:after="120" w:before="220"/>
      </w:pPr>
      <w:r>
        <w:t xml:space="preserve">Module 4 — Priority Scoring Engine</w:t>
      </w:r>
    </w:p>
    <w:p>
      <w:pPr>
        <w:spacing w:after="160"/>
      </w:pPr>
      <w:r>
        <w:rPr>
          <w:color w:val="1F2E28"/>
          <w:sz w:val="22"/>
          <w:szCs w:val="22"/>
        </w:rPr>
        <w:t xml:space="preserve">Assigns every patient a 0–100 priority score from five weighted factors (admission type, test result, condition severity, age, recency of admission) and classifies them as Critical, High, Moderate, or Routine — directly mirroring the Hot/Warm/Cold/Low-Priority lead classification used in sales lead-scoring systems.</w:t>
      </w:r>
    </w:p>
    <w:p>
      <w:pPr>
        <w:pStyle w:val="Heading2"/>
        <w:spacing w:after="120" w:before="220"/>
      </w:pPr>
      <w:r>
        <w:t xml:space="preserve">Module 5 — AI Recommendation Engine</w:t>
      </w:r>
    </w:p>
    <w:p>
      <w:pPr>
        <w:spacing w:after="160"/>
      </w:pPr>
      <w:r>
        <w:rPr>
          <w:color w:val="1F2E28"/>
          <w:sz w:val="22"/>
          <w:szCs w:val="22"/>
        </w:rPr>
        <w:t xml:space="preserve">Generates rule-based, context-specific action recommendations per patient (e.g. "assign care coordinator within the hour", "flag abnormal results for same-day physician review", "highlight insurance coverage for extended care").</w:t>
      </w:r>
    </w:p>
    <w:p>
      <w:pPr>
        <w:pStyle w:val="Heading2"/>
        <w:spacing w:after="120" w:before="220"/>
      </w:pPr>
      <w:r>
        <w:t xml:space="preserve">Module 6 — Automated Personalised Outreach</w:t>
      </w:r>
    </w:p>
    <w:p>
      <w:pPr>
        <w:spacing w:after="160"/>
      </w:pPr>
      <w:r>
        <w:rPr>
          <w:color w:val="1F2E28"/>
          <w:sz w:val="22"/>
          <w:szCs w:val="22"/>
        </w:rPr>
        <w:t xml:space="preserve">Auto-drafts a personalised follow-up email for each patient referencing their condition, doctor, test results, and insurance provider — ready for a care coordinator to review and send.</w:t>
      </w:r>
    </w:p>
    <w:p>
      <w:pPr>
        <w:pStyle w:val="Heading2"/>
        <w:spacing w:after="120" w:before="220"/>
      </w:pPr>
      <w:r>
        <w:t xml:space="preserve">Module 7 — Engagement History</w:t>
      </w:r>
    </w:p>
    <w:p>
      <w:pPr>
        <w:spacing w:after="160"/>
      </w:pPr>
      <w:r>
        <w:rPr>
          <w:color w:val="1F2E28"/>
          <w:sz w:val="22"/>
          <w:szCs w:val="22"/>
        </w:rPr>
        <w:t xml:space="preserve">Maintains a chronological timeline of every recorded interaction for a patient: registration, admission, diagnostic test, medication administered, and discharge status.</w:t>
      </w:r>
    </w:p>
    <w:p>
      <w:pPr>
        <w:pStyle w:val="Heading2"/>
        <w:spacing w:after="120" w:before="220"/>
      </w:pPr>
      <w:r>
        <w:t xml:space="preserve">Module 8 — Dashboard &amp; Analytics</w:t>
      </w:r>
    </w:p>
    <w:p>
      <w:pPr>
        <w:spacing w:after="160"/>
      </w:pPr>
      <w:r>
        <w:rPr>
          <w:color w:val="1F2E28"/>
          <w:sz w:val="22"/>
          <w:szCs w:val="22"/>
        </w:rPr>
        <w:t xml:space="preserve">Provides hospital-wide KPIs and visual analytics: patient volume by condition, priority distribution, billing by insurance provider, test-result outcomes, and lead-source breakdown.</w:t>
      </w:r>
    </w:p>
    <w:p>
      <w:pPr>
        <w:pStyle w:val="Heading1"/>
        <w:spacing w:after="160" w:before="300"/>
      </w:pPr>
      <w:r>
        <w:t xml:space="preserve">5. Dataset</w:t>
      </w:r>
    </w:p>
    <w:p>
      <w:pPr>
        <w:spacing w:after="160"/>
      </w:pPr>
      <w:r>
        <w:rPr>
          <w:color w:val="1F2E28"/>
          <w:sz w:val="22"/>
          <w:szCs w:val="22"/>
        </w:rPr>
        <w:t xml:space="preserve">The application's data schema is matched to the publicly available "Healthcare Dataset" (55,500 synthetic patient records) published on Kaggle, covering Name, Age, Gender, Blood Type, Medical Condition, Date of Admission, Doctor, Hospital, Insurance Provider, Billing Amount, Room Number, Admission Type, Discharge Date, Medication, and Test Results. The application ships with a generated demo dataset of matching structure and includes a CSV import feature so the real Kaggle dataset (or any hospital's own export) can be loaded directly.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E7E4D6" w:val="clear"/>
          </w:tcPr>
          <w:p>
            <w:r>
              <w:rPr>
                <w:b/>
                <w:bCs/>
                <w:color w:val="1F2E28"/>
                <w:sz w:val="20"/>
                <w:szCs w:val="20"/>
              </w:rPr>
              <w:t xml:space="preserve">Source</w:t>
            </w:r>
          </w:p>
        </w:tc>
        <w:tc>
          <w:tcPr>
            <w:tcW w:type="dxa" w:w="6800"/>
          </w:tcPr>
          <w:p>
            <w:r>
              <w:rPr>
                <w:color w:val="1F2E28"/>
                <w:sz w:val="20"/>
                <w:szCs w:val="20"/>
              </w:rPr>
              <w:t xml:space="preserve">Kaggle — "Healthcare Dataset" (prasad22)</w:t>
            </w:r>
          </w:p>
        </w:tc>
      </w:tr>
      <w:tr>
        <w:tc>
          <w:tcPr>
            <w:tcW w:type="dxa" w:w="3000"/>
            <w:shd w:fill="E7E4D6" w:val="clear"/>
          </w:tcPr>
          <w:p>
            <w:r>
              <w:rPr>
                <w:b/>
                <w:bCs/>
                <w:color w:val="1F2E28"/>
                <w:sz w:val="20"/>
                <w:szCs w:val="20"/>
              </w:rPr>
              <w:t xml:space="preserve">Records</w:t>
            </w:r>
          </w:p>
        </w:tc>
        <w:tc>
          <w:tcPr>
            <w:tcW w:type="dxa" w:w="6800"/>
          </w:tcPr>
          <w:p>
            <w:r>
              <w:rPr>
                <w:color w:val="1F2E28"/>
                <w:sz w:val="20"/>
                <w:szCs w:val="20"/>
              </w:rPr>
              <w:t xml:space="preserve">55,500 (full dataset) / 140 (bundled demo sample)</w:t>
            </w:r>
          </w:p>
        </w:tc>
      </w:tr>
      <w:tr>
        <w:tc>
          <w:tcPr>
            <w:tcW w:type="dxa" w:w="3000"/>
            <w:shd w:fill="E7E4D6" w:val="clear"/>
          </w:tcPr>
          <w:p>
            <w:r>
              <w:rPr>
                <w:b/>
                <w:bCs/>
                <w:color w:val="1F2E28"/>
                <w:sz w:val="20"/>
                <w:szCs w:val="20"/>
              </w:rPr>
              <w:t xml:space="preserve">Format</w:t>
            </w:r>
          </w:p>
        </w:tc>
        <w:tc>
          <w:tcPr>
            <w:tcW w:type="dxa" w:w="6800"/>
          </w:tcPr>
          <w:p>
            <w:r>
              <w:rPr>
                <w:color w:val="1F2E28"/>
                <w:sz w:val="20"/>
                <w:szCs w:val="20"/>
              </w:rPr>
              <w:t xml:space="preserve">CSV</w:t>
            </w:r>
          </w:p>
        </w:tc>
      </w:tr>
      <w:tr>
        <w:tc>
          <w:tcPr>
            <w:tcW w:type="dxa" w:w="3000"/>
            <w:shd w:fill="E7E4D6" w:val="clear"/>
          </w:tcPr>
          <w:p>
            <w:r>
              <w:rPr>
                <w:b/>
                <w:bCs/>
                <w:color w:val="1F2E28"/>
                <w:sz w:val="20"/>
                <w:szCs w:val="20"/>
              </w:rPr>
              <w:t xml:space="preserve">Key Fields</w:t>
            </w:r>
          </w:p>
        </w:tc>
        <w:tc>
          <w:tcPr>
            <w:tcW w:type="dxa" w:w="6800"/>
          </w:tcPr>
          <w:p>
            <w:r>
              <w:rPr>
                <w:color w:val="1F2E28"/>
                <w:sz w:val="20"/>
                <w:szCs w:val="20"/>
              </w:rPr>
              <w:t xml:space="preserve">Name, Age, Gender, Medical Condition, Admission Type, Test Results, Billing Amount, Insurance Provider</w:t>
            </w:r>
          </w:p>
        </w:tc>
      </w:tr>
      <w:tr>
        <w:tc>
          <w:tcPr>
            <w:tcW w:type="dxa" w:w="3000"/>
            <w:shd w:fill="E7E4D6" w:val="clear"/>
          </w:tcPr>
          <w:p>
            <w:r>
              <w:rPr>
                <w:b/>
                <w:bCs/>
                <w:color w:val="1F2E28"/>
                <w:sz w:val="20"/>
                <w:szCs w:val="20"/>
              </w:rPr>
              <w:t xml:space="preserve">License / Nature</w:t>
            </w:r>
          </w:p>
        </w:tc>
        <w:tc>
          <w:tcPr>
            <w:tcW w:type="dxa" w:w="6800"/>
          </w:tcPr>
          <w:p>
            <w:r>
              <w:rPr>
                <w:color w:val="1F2E28"/>
                <w:sz w:val="20"/>
                <w:szCs w:val="20"/>
              </w:rPr>
              <w:t xml:space="preserve">Synthetic, privacy-safe — no real patient data</w:t>
            </w:r>
          </w:p>
        </w:tc>
      </w:tr>
    </w:tbl>
    <w:p>
      <w:pPr>
        <w:pStyle w:val="Heading1"/>
        <w:spacing w:after="160" w:before="300"/>
      </w:pPr>
      <w:r>
        <w:t xml:space="preserve">6. Priority Scoring Methodology</w:t>
      </w:r>
    </w:p>
    <w:p>
      <w:pPr>
        <w:spacing w:after="160"/>
      </w:pPr>
      <w:r>
        <w:rPr>
          <w:color w:val="1F2E28"/>
          <w:sz w:val="22"/>
          <w:szCs w:val="22"/>
        </w:rPr>
        <w:t xml:space="preserve">Lead Score = Admission Type weight + Test Result weight + Condition Severity weight + Age factor + Admission Recency factor (capped at 100).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E7E4D6" w:val="clear"/>
          </w:tcPr>
          <w:p>
            <w:r>
              <w:rPr>
                <w:b/>
                <w:bCs/>
                <w:color w:val="1F2E28"/>
                <w:sz w:val="20"/>
                <w:szCs w:val="20"/>
              </w:rPr>
              <w:t xml:space="preserve">Admission Type</w:t>
            </w:r>
          </w:p>
        </w:tc>
        <w:tc>
          <w:tcPr>
            <w:tcW w:type="dxa" w:w="6800"/>
          </w:tcPr>
          <w:p>
            <w:r>
              <w:rPr>
                <w:color w:val="1F2E28"/>
                <w:sz w:val="20"/>
                <w:szCs w:val="20"/>
              </w:rPr>
              <w:t xml:space="preserve">Emergency = 30 · Urgent = 20 · Elective = 10</w:t>
            </w:r>
          </w:p>
        </w:tc>
      </w:tr>
      <w:tr>
        <w:tc>
          <w:tcPr>
            <w:tcW w:type="dxa" w:w="3000"/>
            <w:shd w:fill="E7E4D6" w:val="clear"/>
          </w:tcPr>
          <w:p>
            <w:r>
              <w:rPr>
                <w:b/>
                <w:bCs/>
                <w:color w:val="1F2E28"/>
                <w:sz w:val="20"/>
                <w:szCs w:val="20"/>
              </w:rPr>
              <w:t xml:space="preserve">Test Result</w:t>
            </w:r>
          </w:p>
        </w:tc>
        <w:tc>
          <w:tcPr>
            <w:tcW w:type="dxa" w:w="6800"/>
          </w:tcPr>
          <w:p>
            <w:r>
              <w:rPr>
                <w:color w:val="1F2E28"/>
                <w:sz w:val="20"/>
                <w:szCs w:val="20"/>
              </w:rPr>
              <w:t xml:space="preserve">Abnormal = 30 · Inconclusive = 16 · Normal = 6</w:t>
            </w:r>
          </w:p>
        </w:tc>
      </w:tr>
      <w:tr>
        <w:tc>
          <w:tcPr>
            <w:tcW w:type="dxa" w:w="3000"/>
            <w:shd w:fill="E7E4D6" w:val="clear"/>
          </w:tcPr>
          <w:p>
            <w:r>
              <w:rPr>
                <w:b/>
                <w:bCs/>
                <w:color w:val="1F2E28"/>
                <w:sz w:val="20"/>
                <w:szCs w:val="20"/>
              </w:rPr>
              <w:t xml:space="preserve">Condition Severity</w:t>
            </w:r>
          </w:p>
        </w:tc>
        <w:tc>
          <w:tcPr>
            <w:tcW w:type="dxa" w:w="6800"/>
          </w:tcPr>
          <w:p>
            <w:r>
              <w:rPr>
                <w:color w:val="1F2E28"/>
                <w:sz w:val="20"/>
                <w:szCs w:val="20"/>
              </w:rPr>
              <w:t xml:space="preserve">Cancer = 25 · Hypertension = 18 · Asthma = 12 · Diabetes = 15 · Arthritis/Obesity = 10</w:t>
            </w:r>
          </w:p>
        </w:tc>
      </w:tr>
      <w:tr>
        <w:tc>
          <w:tcPr>
            <w:tcW w:type="dxa" w:w="3000"/>
            <w:shd w:fill="E7E4D6" w:val="clear"/>
          </w:tcPr>
          <w:p>
            <w:r>
              <w:rPr>
                <w:b/>
                <w:bCs/>
                <w:color w:val="1F2E28"/>
                <w:sz w:val="20"/>
                <w:szCs w:val="20"/>
              </w:rPr>
              <w:t xml:space="preserve">Age Factor</w:t>
            </w:r>
          </w:p>
        </w:tc>
        <w:tc>
          <w:tcPr>
            <w:tcW w:type="dxa" w:w="6800"/>
          </w:tcPr>
          <w:p>
            <w:r>
              <w:rPr>
                <w:color w:val="1F2E28"/>
                <w:sz w:val="20"/>
                <w:szCs w:val="20"/>
              </w:rPr>
              <w:t xml:space="preserve">65+ = 15 · 40–64 = 9 · under 40 = 4</w:t>
            </w:r>
          </w:p>
        </w:tc>
      </w:tr>
      <w:tr>
        <w:tc>
          <w:tcPr>
            <w:tcW w:type="dxa" w:w="3000"/>
            <w:shd w:fill="E7E4D6" w:val="clear"/>
          </w:tcPr>
          <w:p>
            <w:r>
              <w:rPr>
                <w:b/>
                <w:bCs/>
                <w:color w:val="1F2E28"/>
                <w:sz w:val="20"/>
                <w:szCs w:val="20"/>
              </w:rPr>
              <w:t xml:space="preserve">Recency (if still admitted)</w:t>
            </w:r>
          </w:p>
        </w:tc>
        <w:tc>
          <w:tcPr>
            <w:tcW w:type="dxa" w:w="6800"/>
          </w:tcPr>
          <w:p>
            <w:r>
              <w:rPr>
                <w:color w:val="1F2E28"/>
                <w:sz w:val="20"/>
                <w:szCs w:val="20"/>
              </w:rPr>
              <w:t xml:space="preserve">Admitted &lt; 14 days = 12 · otherwise = 6</w:t>
            </w:r>
          </w:p>
        </w:tc>
      </w:tr>
    </w:tbl>
    <w:p>
      <w:pPr>
        <w:pStyle w:val="Heading2"/>
        <w:spacing w:after="120" w:before="220"/>
      </w:pPr>
      <w:r>
        <w:t xml:space="preserve">Classification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c>
          <w:tcPr>
            <w:tcW w:type="dxa" w:w="2400"/>
            <w:shd w:fill="E7E4D6" w:val="clear"/>
          </w:tcPr>
          <w:p>
            <w:r>
              <w:rPr>
                <w:b/>
                <w:bCs/>
                <w:color w:val="1F2E28"/>
                <w:sz w:val="20"/>
                <w:szCs w:val="20"/>
              </w:rPr>
              <w:t xml:space="preserve">81 – 100</w:t>
            </w:r>
          </w:p>
        </w:tc>
        <w:tc>
          <w:tcPr>
            <w:tcW w:type="dxa" w:w="7400"/>
          </w:tcPr>
          <w:p>
            <w:r>
              <w:rPr>
                <w:color w:val="1F2E28"/>
                <w:sz w:val="20"/>
                <w:szCs w:val="20"/>
              </w:rPr>
              <w:t xml:space="preserve">Critical Priority — contact today</w:t>
            </w:r>
          </w:p>
        </w:tc>
      </w:tr>
      <w:tr>
        <w:tc>
          <w:tcPr>
            <w:tcW w:type="dxa" w:w="2400"/>
            <w:shd w:fill="E7E4D6" w:val="clear"/>
          </w:tcPr>
          <w:p>
            <w:r>
              <w:rPr>
                <w:b/>
                <w:bCs/>
                <w:color w:val="1F2E28"/>
                <w:sz w:val="20"/>
                <w:szCs w:val="20"/>
              </w:rPr>
              <w:t xml:space="preserve">61 – 80</w:t>
            </w:r>
          </w:p>
        </w:tc>
        <w:tc>
          <w:tcPr>
            <w:tcW w:type="dxa" w:w="7400"/>
          </w:tcPr>
          <w:p>
            <w:r>
              <w:rPr>
                <w:color w:val="1F2E28"/>
                <w:sz w:val="20"/>
                <w:szCs w:val="20"/>
              </w:rPr>
              <w:t xml:space="preserve">High Priority — contact within 24 hours</w:t>
            </w:r>
          </w:p>
        </w:tc>
      </w:tr>
      <w:tr>
        <w:tc>
          <w:tcPr>
            <w:tcW w:type="dxa" w:w="2400"/>
            <w:shd w:fill="E7E4D6" w:val="clear"/>
          </w:tcPr>
          <w:p>
            <w:r>
              <w:rPr>
                <w:b/>
                <w:bCs/>
                <w:color w:val="1F2E28"/>
                <w:sz w:val="20"/>
                <w:szCs w:val="20"/>
              </w:rPr>
              <w:t xml:space="preserve">41 – 60</w:t>
            </w:r>
          </w:p>
        </w:tc>
        <w:tc>
          <w:tcPr>
            <w:tcW w:type="dxa" w:w="7400"/>
          </w:tcPr>
          <w:p>
            <w:r>
              <w:rPr>
                <w:color w:val="1F2E28"/>
                <w:sz w:val="20"/>
                <w:szCs w:val="20"/>
              </w:rPr>
              <w:t xml:space="preserve">Moderate Priority — routine follow-up</w:t>
            </w:r>
          </w:p>
        </w:tc>
      </w:tr>
      <w:tr>
        <w:tc>
          <w:tcPr>
            <w:tcW w:type="dxa" w:w="2400"/>
            <w:shd w:fill="E7E4D6" w:val="clear"/>
          </w:tcPr>
          <w:p>
            <w:r>
              <w:rPr>
                <w:b/>
                <w:bCs/>
                <w:color w:val="1F2E28"/>
                <w:sz w:val="20"/>
                <w:szCs w:val="20"/>
              </w:rPr>
              <w:t xml:space="preserve">0 – 40</w:t>
            </w:r>
          </w:p>
        </w:tc>
        <w:tc>
          <w:tcPr>
            <w:tcW w:type="dxa" w:w="7400"/>
          </w:tcPr>
          <w:p>
            <w:r>
              <w:rPr>
                <w:color w:val="1F2E28"/>
                <w:sz w:val="20"/>
                <w:szCs w:val="20"/>
              </w:rPr>
              <w:t xml:space="preserve">Routine — no immediate action required</w:t>
            </w:r>
          </w:p>
        </w:tc>
      </w:tr>
    </w:tbl>
    <w:p>
      <w:pPr>
        <w:pStyle w:val="Heading1"/>
        <w:spacing w:after="160" w:before="300"/>
      </w:pPr>
      <w:r>
        <w:t xml:space="preserve">7.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E7E4D6" w:val="clear"/>
          </w:tcPr>
          <w:p>
            <w:r>
              <w:rPr>
                <w:b/>
                <w:bCs/>
                <w:color w:val="1F2E28"/>
                <w:sz w:val="20"/>
                <w:szCs w:val="20"/>
              </w:rPr>
              <w:t xml:space="preserve">Frontend</w:t>
            </w:r>
          </w:p>
        </w:tc>
        <w:tc>
          <w:tcPr>
            <w:tcW w:type="dxa" w:w="6800"/>
          </w:tcPr>
          <w:p>
            <w:r>
              <w:rPr>
                <w:color w:val="1F2E28"/>
                <w:sz w:val="20"/>
                <w:szCs w:val="20"/>
              </w:rPr>
              <w:t xml:space="preserve">React (functional components, hooks)</w:t>
            </w:r>
          </w:p>
        </w:tc>
      </w:tr>
      <w:tr>
        <w:tc>
          <w:tcPr>
            <w:tcW w:type="dxa" w:w="3000"/>
            <w:shd w:fill="E7E4D6" w:val="clear"/>
          </w:tcPr>
          <w:p>
            <w:r>
              <w:rPr>
                <w:b/>
                <w:bCs/>
                <w:color w:val="1F2E28"/>
                <w:sz w:val="20"/>
                <w:szCs w:val="20"/>
              </w:rPr>
              <w:t xml:space="preserve">Styling</w:t>
            </w:r>
          </w:p>
        </w:tc>
        <w:tc>
          <w:tcPr>
            <w:tcW w:type="dxa" w:w="6800"/>
          </w:tcPr>
          <w:p>
            <w:r>
              <w:rPr>
                <w:color w:val="1F2E28"/>
                <w:sz w:val="20"/>
                <w:szCs w:val="20"/>
              </w:rPr>
              <w:t xml:space="preserve">Tailwind utility classes + custom design tokens</w:t>
            </w:r>
          </w:p>
        </w:tc>
      </w:tr>
      <w:tr>
        <w:tc>
          <w:tcPr>
            <w:tcW w:type="dxa" w:w="3000"/>
            <w:shd w:fill="E7E4D6" w:val="clear"/>
          </w:tcPr>
          <w:p>
            <w:r>
              <w:rPr>
                <w:b/>
                <w:bCs/>
                <w:color w:val="1F2E28"/>
                <w:sz w:val="20"/>
                <w:szCs w:val="20"/>
              </w:rPr>
              <w:t xml:space="preserve">Charts</w:t>
            </w:r>
          </w:p>
        </w:tc>
        <w:tc>
          <w:tcPr>
            <w:tcW w:type="dxa" w:w="6800"/>
          </w:tcPr>
          <w:p>
            <w:r>
              <w:rPr>
                <w:color w:val="1F2E28"/>
                <w:sz w:val="20"/>
                <w:szCs w:val="20"/>
              </w:rPr>
              <w:t xml:space="preserve">Recharts (bar, pie, KPI visualisations)</w:t>
            </w:r>
          </w:p>
        </w:tc>
      </w:tr>
      <w:tr>
        <w:tc>
          <w:tcPr>
            <w:tcW w:type="dxa" w:w="3000"/>
            <w:shd w:fill="E7E4D6" w:val="clear"/>
          </w:tcPr>
          <w:p>
            <w:r>
              <w:rPr>
                <w:b/>
                <w:bCs/>
                <w:color w:val="1F2E28"/>
                <w:sz w:val="20"/>
                <w:szCs w:val="20"/>
              </w:rPr>
              <w:t xml:space="preserve">Icons</w:t>
            </w:r>
          </w:p>
        </w:tc>
        <w:tc>
          <w:tcPr>
            <w:tcW w:type="dxa" w:w="6800"/>
          </w:tcPr>
          <w:p>
            <w:r>
              <w:rPr>
                <w:color w:val="1F2E28"/>
                <w:sz w:val="20"/>
                <w:szCs w:val="20"/>
              </w:rPr>
              <w:t xml:space="preserve">lucide-react</w:t>
            </w:r>
          </w:p>
        </w:tc>
      </w:tr>
      <w:tr>
        <w:tc>
          <w:tcPr>
            <w:tcW w:type="dxa" w:w="3000"/>
            <w:shd w:fill="E7E4D6" w:val="clear"/>
          </w:tcPr>
          <w:p>
            <w:r>
              <w:rPr>
                <w:b/>
                <w:bCs/>
                <w:color w:val="1F2E28"/>
                <w:sz w:val="20"/>
                <w:szCs w:val="20"/>
              </w:rPr>
              <w:t xml:space="preserve">CSV Parsing</w:t>
            </w:r>
          </w:p>
        </w:tc>
        <w:tc>
          <w:tcPr>
            <w:tcW w:type="dxa" w:w="6800"/>
          </w:tcPr>
          <w:p>
            <w:r>
              <w:rPr>
                <w:color w:val="1F2E28"/>
                <w:sz w:val="20"/>
                <w:szCs w:val="20"/>
              </w:rPr>
              <w:t xml:space="preserve">PapaParse</w:t>
            </w:r>
          </w:p>
        </w:tc>
      </w:tr>
      <w:tr>
        <w:tc>
          <w:tcPr>
            <w:tcW w:type="dxa" w:w="3000"/>
            <w:shd w:fill="E7E4D6" w:val="clear"/>
          </w:tcPr>
          <w:p>
            <w:r>
              <w:rPr>
                <w:b/>
                <w:bCs/>
                <w:color w:val="1F2E28"/>
                <w:sz w:val="20"/>
                <w:szCs w:val="20"/>
              </w:rPr>
              <w:t xml:space="preserve">Data Layer</w:t>
            </w:r>
          </w:p>
        </w:tc>
        <w:tc>
          <w:tcPr>
            <w:tcW w:type="dxa" w:w="6800"/>
          </w:tcPr>
          <w:p>
            <w:r>
              <w:rPr>
                <w:color w:val="1F2E28"/>
                <w:sz w:val="20"/>
                <w:szCs w:val="20"/>
              </w:rPr>
              <w:t xml:space="preserve">In-memory state (demo) / CSV import (real dataset)</w:t>
            </w:r>
          </w:p>
        </w:tc>
      </w:tr>
    </w:tbl>
    <w:p>
      <w:pPr>
        <w:pStyle w:val="Heading1"/>
        <w:spacing w:after="160" w:before="300"/>
      </w:pPr>
      <w:r>
        <w:t xml:space="preserve">8. System Architecture</w:t>
      </w:r>
    </w:p>
    <w:p>
      <w:pPr>
        <w:spacing w:after="160"/>
      </w:pPr>
      <w:r>
        <w:rPr>
          <w:color w:val="1F2E28"/>
          <w:sz w:val="22"/>
          <w:szCs w:val="22"/>
        </w:rPr>
        <w:t xml:space="preserve">The application follows a single-page, component-based architecture:</w:t>
      </w:r>
    </w:p>
    <w:p>
      <w:pPr>
        <w:pStyle w:val="ListParagraph"/>
        <w:numPr>
          <w:ilvl w:val="0"/>
          <w:numId w:val="2"/>
        </w:numPr>
        <w:spacing w:after="80"/>
      </w:pPr>
      <w:r>
        <w:t xml:space="preserve">Sidebar navigation — Dashboard, Patient Leads, Analytics</w:t>
      </w:r>
    </w:p>
    <w:p>
      <w:pPr>
        <w:pStyle w:val="ListParagraph"/>
        <w:numPr>
          <w:ilvl w:val="0"/>
          <w:numId w:val="2"/>
        </w:numPr>
        <w:spacing w:after="80"/>
      </w:pPr>
      <w:r>
        <w:t xml:space="preserve">Central state holds the patient dataset; a derived/enriched dataset computes score and priority for every record on the fly</w:t>
      </w:r>
    </w:p>
    <w:p>
      <w:pPr>
        <w:pStyle w:val="ListParagraph"/>
        <w:numPr>
          <w:ilvl w:val="0"/>
          <w:numId w:val="2"/>
        </w:numPr>
        <w:spacing w:after="80"/>
      </w:pPr>
      <w:r>
        <w:t xml:space="preserve">Dashboard, Patient Leads table, and Analytics views all read from the same enriched dataset, keeping scoring logic in a single place</w:t>
      </w:r>
    </w:p>
    <w:p>
      <w:pPr>
        <w:pStyle w:val="ListParagraph"/>
        <w:numPr>
          <w:ilvl w:val="0"/>
          <w:numId w:val="2"/>
        </w:numPr>
        <w:spacing w:after="80"/>
      </w:pPr>
      <w:r>
        <w:t xml:space="preserve">A detail drawer renders per-patient clinical summary, AI recommendations, engagement timeline, and outreach draft on demand</w:t>
      </w:r>
    </w:p>
    <w:p>
      <w:pPr>
        <w:pStyle w:val="ListParagraph"/>
        <w:numPr>
          <w:ilvl w:val="0"/>
          <w:numId w:val="2"/>
        </w:numPr>
        <w:spacing w:after="80"/>
      </w:pPr>
      <w:r>
        <w:t xml:space="preserve">CSV import replaces the in-memory dataset with parsed rows mapped to the same schema, so no other component needs to change</w:t>
      </w:r>
    </w:p>
    <w:p>
      <w:pPr>
        <w:pStyle w:val="Heading1"/>
        <w:spacing w:after="160" w:before="300"/>
      </w:pPr>
      <w:r>
        <w:t xml:space="preserve">9. Future Enhancements</w:t>
      </w:r>
    </w:p>
    <w:p>
      <w:pPr>
        <w:pStyle w:val="ListParagraph"/>
        <w:numPr>
          <w:ilvl w:val="0"/>
          <w:numId w:val="2"/>
        </w:numPr>
        <w:spacing w:after="80"/>
      </w:pPr>
      <w:r>
        <w:t xml:space="preserve">Persist patient records in a database (MongoDB/PostgreSQL) with a Node.js or Flask backend</w:t>
      </w:r>
    </w:p>
    <w:p>
      <w:pPr>
        <w:pStyle w:val="ListParagraph"/>
        <w:numPr>
          <w:ilvl w:val="0"/>
          <w:numId w:val="2"/>
        </w:numPr>
        <w:spacing w:after="80"/>
      </w:pPr>
      <w:r>
        <w:t xml:space="preserve">Replace the rule-based scoring model with a trained ML classifier (e.g. logistic regression / gradient boosting) using the full 55,500-record Kaggle dataset</w:t>
      </w:r>
    </w:p>
    <w:p>
      <w:pPr>
        <w:pStyle w:val="ListParagraph"/>
        <w:numPr>
          <w:ilvl w:val="0"/>
          <w:numId w:val="2"/>
        </w:numPr>
        <w:spacing w:after="80"/>
      </w:pPr>
      <w:r>
        <w:t xml:space="preserve">Add authentication and role-based access for hospital staff</w:t>
      </w:r>
    </w:p>
    <w:p>
      <w:pPr>
        <w:pStyle w:val="ListParagraph"/>
        <w:numPr>
          <w:ilvl w:val="0"/>
          <w:numId w:val="2"/>
        </w:numPr>
        <w:spacing w:after="80"/>
      </w:pPr>
      <w:r>
        <w:t xml:space="preserve">Integrate real email/SMS delivery for the automated outreach drafts</w:t>
      </w:r>
    </w:p>
    <w:p>
      <w:pPr>
        <w:pStyle w:val="ListParagraph"/>
        <w:numPr>
          <w:ilvl w:val="0"/>
          <w:numId w:val="2"/>
        </w:numPr>
        <w:spacing w:after="80"/>
      </w:pPr>
      <w:r>
        <w:t xml:space="preserve">Add appointment scheduling and calendar sync</w:t>
      </w:r>
    </w:p>
    <w:p>
      <w:pPr>
        <w:pStyle w:val="Heading1"/>
        <w:spacing w:after="160" w:before="300"/>
      </w:pPr>
      <w:r>
        <w:t xml:space="preserve">10. Conclusion</w:t>
      </w:r>
    </w:p>
    <w:p>
      <w:pPr>
        <w:spacing w:after="160"/>
      </w:pPr>
      <w:r>
        <w:rPr>
          <w:color w:val="1F2E28"/>
          <w:sz w:val="22"/>
          <w:szCs w:val="22"/>
        </w:rPr>
        <w:t xml:space="preserve">VitalLead demonstrates how a sales lead-intelligence workflow — registration, profiling, scoring, AI recommendations, automated outreach, and analytics — translates directly into a healthcare patient-intake context. The system gives hospital staff a prioritised, explainable view of their patient pipeline, backed by a real, publicly available healthcare dataset, and is built to be extended into a full-stack production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2026-07-08T18:48:39.577Z</dcterms:created>
  <dcterms:modified xsi:type="dcterms:W3CDTF">2026-07-08T18:48:39.590Z</dcterms:modified>
</cp:coreProperties>
</file>

<file path=docProps/custom.xml><?xml version="1.0" encoding="utf-8"?>
<Properties xmlns="http://schemas.openxmlformats.org/officeDocument/2006/custom-properties" xmlns:vt="http://schemas.openxmlformats.org/officeDocument/2006/docPropsVTypes"/>
</file>