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t xml:space="preserve"/>
      </w:r>
    </w:p>
    <w:p>
      <w:pPr>
        <w:jc w:val="center"/>
      </w:pPr>
      <w:r>
        <w:rPr>
          <w:rFonts w:ascii="Segoe UI" w:cs="Segoe UI" w:eastAsia="Segoe UI" w:hAnsi="Segoe UI"/>
          <w:b/>
          <w:bCs/>
          <w:color w:val="0078D4"/>
          <w:sz w:val="52"/>
          <w:szCs w:val="52"/>
        </w:rPr>
        <w:t xml:space="preserve">🏥 Healthcare Analytics</w:t>
      </w:r>
    </w:p>
    <w:p>
      <w:pPr>
        <w:jc w:val="center"/>
      </w:pPr>
      <w:r>
        <w:rPr>
          <w:rFonts w:ascii="Segoe UI" w:cs="Segoe UI" w:eastAsia="Segoe UI" w:hAnsi="Segoe UI"/>
          <w:color w:val="1E2025"/>
          <w:sz w:val="36"/>
          <w:szCs w:val="36"/>
        </w:rPr>
        <w:t xml:space="preserve">Performance Dashboard — FY 2024</w:t>
      </w:r>
    </w:p>
    <w:p>
      <w:pPr>
        <w:spacing w:before="80"/>
        <w:jc w:val="center"/>
      </w:pPr>
      <w:r>
        <w:rPr>
          <w:rFonts w:ascii="Segoe UI" w:cs="Segoe UI" w:eastAsia="Segoe UI" w:hAnsi="Segoe UI"/>
          <w:color w:val="605E5C"/>
          <w:sz w:val="22"/>
          <w:szCs w:val="22"/>
        </w:rPr>
        <w:t xml:space="preserve">Power BI Dashboard Report &amp; Documentation</w:t>
      </w:r>
    </w:p>
    <w:p>
      <w:pPr>
        <w:pBdr>
          <w:bottom w:val="single" w:color="0078D4" w:sz="8" w:space="1"/>
        </w:pBdr>
        <w:spacing w:after="80" w:before="80"/>
      </w:pPr>
      <w:r>
        <w:t xml:space="preserve"/>
      </w:r>
    </w:p>
    <w:p>
      <w:pPr>
        <w:spacing w:before="40"/>
        <w:jc w:val="center"/>
      </w:pPr>
      <w:r>
        <w:rPr>
          <w:rFonts w:ascii="Segoe UI" w:cs="Segoe UI" w:eastAsia="Segoe UI" w:hAnsi="Segoe UI"/>
          <w:color w:val="8A8886"/>
          <w:sz w:val="19"/>
          <w:szCs w:val="19"/>
        </w:rPr>
        <w:t xml:space="preserve">Submitted by: [Your Name]   |   Roll No: [XXXXXX]   |   Date: May 2026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Segoe UI" w:cs="Segoe UI" w:eastAsia="Segoe UI" w:hAnsi="Segoe UI"/>
          <w:b/>
          <w:bCs/>
          <w:color w:val="0078D4"/>
          <w:sz w:val="28"/>
          <w:szCs w:val="28"/>
        </w:rPr>
        <w:t xml:space="preserve">1. Dataset Details</w:t>
      </w:r>
    </w:p>
    <w:p>
      <w:pPr>
        <w:pBdr>
          <w:bottom w:val="single" w:color="0078D4" w:sz="8" w:space="1"/>
        </w:pBd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Segoe UI" w:cs="Segoe UI" w:eastAsia="Segoe UI" w:hAnsi="Segoe UI"/>
          <w:sz w:val="21"/>
          <w:szCs w:val="21"/>
        </w:rPr>
        <w:t xml:space="preserve">The dataset used for this Healthcare Analytics Dashboard is a simulated hospital management record for FY 2024, covering patient admissions, clinical outcomes, departmental performance, and financial metrics across a multi-specialty hospital.</w:t>
      </w:r>
    </w:p>
    <w:p>
      <w:pPr>
        <w:spacing w:before="140"/>
      </w:pPr>
      <w:r>
        <w:rPr>
          <w:rFonts w:ascii="Segoe UI" w:cs="Segoe UI" w:eastAsia="Segoe UI" w:hAnsi="Segoe UI"/>
          <w:b/>
          <w:bCs/>
          <w:color w:val="1E2025"/>
          <w:sz w:val="22"/>
          <w:szCs w:val="22"/>
        </w:rPr>
        <w:t xml:space="preserve">Dataset Summary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rPr>
          <w:tblHeader/>
        </w:trPr>
        <w:tc>
          <w:tcPr>
            <w:tcW w:type="dxa" w:w="3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576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Dataset Name</w:t>
            </w:r>
          </w:p>
        </w:tc>
        <w:tc>
          <w:tcPr>
            <w:tcW w:type="dxa" w:w="576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Hospital_Records_2024.xlsx</w:t>
            </w:r>
          </w:p>
        </w:tc>
      </w:tr>
      <w:tr>
        <w:tc>
          <w:tcPr>
            <w:tcW w:type="dxa" w:w="3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Total Records</w:t>
            </w:r>
          </w:p>
        </w:tc>
        <w:tc>
          <w:tcPr>
            <w:tcW w:type="dxa" w:w="576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48,320 patient records</w:t>
            </w:r>
          </w:p>
        </w:tc>
      </w:tr>
      <w:tr>
        <w:tc>
          <w:tcPr>
            <w:tcW w:type="dxa" w:w="3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Time Period</w:t>
            </w:r>
          </w:p>
        </w:tc>
        <w:tc>
          <w:tcPr>
            <w:tcW w:type="dxa" w:w="576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January 2024 – December 2024 (FY 2024)</w:t>
            </w:r>
          </w:p>
        </w:tc>
      </w:tr>
      <w:tr>
        <w:tc>
          <w:tcPr>
            <w:tcW w:type="dxa" w:w="3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Departments</w:t>
            </w:r>
          </w:p>
        </w:tc>
        <w:tc>
          <w:tcPr>
            <w:tcW w:type="dxa" w:w="576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Cardiology, Orthopaedics, Neurology, ICU, Respiratory, OPD</w:t>
            </w:r>
          </w:p>
        </w:tc>
      </w:tr>
      <w:tr>
        <w:tc>
          <w:tcPr>
            <w:tcW w:type="dxa" w:w="3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Data Source</w:t>
            </w:r>
          </w:p>
        </w:tc>
        <w:tc>
          <w:tcPr>
            <w:tcW w:type="dxa" w:w="576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Hospital Management System (HMS) — Simulated</w:t>
            </w:r>
          </w:p>
        </w:tc>
      </w:tr>
      <w:tr>
        <w:tc>
          <w:tcPr>
            <w:tcW w:type="dxa" w:w="3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File Format</w:t>
            </w:r>
          </w:p>
        </w:tc>
        <w:tc>
          <w:tcPr>
            <w:tcW w:type="dxa" w:w="576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Excel (.xlsx) — imported into Power BI</w:t>
            </w:r>
          </w:p>
        </w:tc>
      </w:tr>
      <w:tr>
        <w:tc>
          <w:tcPr>
            <w:tcW w:type="dxa" w:w="3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Total Columns</w:t>
            </w:r>
          </w:p>
        </w:tc>
        <w:tc>
          <w:tcPr>
            <w:tcW w:type="dxa" w:w="576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18 fields per record</w:t>
            </w:r>
          </w:p>
        </w:tc>
      </w:tr>
      <w:tr>
        <w:tc>
          <w:tcPr>
            <w:tcW w:type="dxa" w:w="3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Refresh Rate</w:t>
            </w:r>
          </w:p>
        </w:tc>
        <w:tc>
          <w:tcPr>
            <w:tcW w:type="dxa" w:w="576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Monthly (manual import)</w:t>
            </w:r>
          </w:p>
        </w:tc>
      </w:tr>
    </w:tbl>
    <w:p>
      <w:pPr>
        <w:spacing w:before="180"/>
      </w:pPr>
      <w:r>
        <w:rPr>
          <w:rFonts w:ascii="Segoe UI" w:cs="Segoe UI" w:eastAsia="Segoe UI" w:hAnsi="Segoe UI"/>
          <w:b/>
          <w:bCs/>
          <w:color w:val="1E2025"/>
          <w:sz w:val="22"/>
          <w:szCs w:val="22"/>
        </w:rPr>
        <w:t xml:space="preserve">Key Fields / Columns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4860"/>
      </w:tblGrid>
      <w:tr>
        <w:trPr>
          <w:tblHeader/>
        </w:trPr>
        <w:tc>
          <w:tcPr>
            <w:tcW w:type="dxa" w:w="24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486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Patient_ID</w:t>
            </w:r>
          </w:p>
        </w:tc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Unique patient identifier</w:t>
            </w:r>
          </w:p>
        </w:tc>
      </w:tr>
      <w:tr>
        <w:tc>
          <w:tcPr>
            <w:tcW w:type="dxa" w:w="24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Admission_Date</w:t>
            </w:r>
          </w:p>
        </w:tc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Date</w:t>
            </w:r>
          </w:p>
        </w:tc>
        <w:tc>
          <w:tcPr>
            <w:tcW w:type="dxa" w:w="486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Date of patient admission</w:t>
            </w:r>
          </w:p>
        </w:tc>
      </w:tr>
      <w:tr>
        <w:tc>
          <w:tcPr>
            <w:tcW w:type="dxa" w:w="24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Discharge_Date</w:t>
            </w:r>
          </w:p>
        </w:tc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Date</w:t>
            </w:r>
          </w:p>
        </w:tc>
        <w:tc>
          <w:tcPr>
            <w:tcW w:type="dxa" w:w="486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Date of patient discharge</w:t>
            </w:r>
          </w:p>
        </w:tc>
      </w:tr>
      <w:tr>
        <w:tc>
          <w:tcPr>
            <w:tcW w:type="dxa" w:w="24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Department</w:t>
            </w:r>
          </w:p>
        </w:tc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Treating department (e.g., Cardiology)</w:t>
            </w:r>
          </w:p>
        </w:tc>
      </w:tr>
      <w:tr>
        <w:tc>
          <w:tcPr>
            <w:tcW w:type="dxa" w:w="24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Diagnosis_Category</w:t>
            </w:r>
          </w:p>
        </w:tc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Primary diagnosis category</w:t>
            </w:r>
          </w:p>
        </w:tc>
      </w:tr>
      <w:tr>
        <w:tc>
          <w:tcPr>
            <w:tcW w:type="dxa" w:w="24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Age</w:t>
            </w:r>
          </w:p>
        </w:tc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Patient age in years</w:t>
            </w:r>
          </w:p>
        </w:tc>
      </w:tr>
      <w:tr>
        <w:tc>
          <w:tcPr>
            <w:tcW w:type="dxa" w:w="24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Gender</w:t>
            </w:r>
          </w:p>
        </w:tc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Male / Female</w:t>
            </w:r>
          </w:p>
        </w:tc>
      </w:tr>
      <w:tr>
        <w:tc>
          <w:tcPr>
            <w:tcW w:type="dxa" w:w="24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Length_of_Stay</w:t>
            </w:r>
          </w:p>
        </w:tc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Number of days admitted</w:t>
            </w:r>
          </w:p>
        </w:tc>
      </w:tr>
      <w:tr>
        <w:tc>
          <w:tcPr>
            <w:tcW w:type="dxa" w:w="24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Treatment_Outcome</w:t>
            </w:r>
          </w:p>
        </w:tc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Recovered / Referred / Expired</w:t>
            </w:r>
          </w:p>
        </w:tc>
      </w:tr>
      <w:tr>
        <w:tc>
          <w:tcPr>
            <w:tcW w:type="dxa" w:w="24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Readmitted</w:t>
            </w:r>
          </w:p>
        </w:tc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Was patient readmitted within 30 days?</w:t>
            </w:r>
          </w:p>
        </w:tc>
      </w:tr>
      <w:tr>
        <w:tc>
          <w:tcPr>
            <w:tcW w:type="dxa" w:w="24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Bed_Occupied</w:t>
            </w:r>
          </w:p>
        </w:tc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Bed occupancy flag</w:t>
            </w:r>
          </w:p>
        </w:tc>
      </w:tr>
      <w:tr>
        <w:tc>
          <w:tcPr>
            <w:tcW w:type="dxa" w:w="24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Wait_Time_Min</w:t>
            </w:r>
          </w:p>
        </w:tc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ER/OPD wait time in minutes</w:t>
            </w:r>
          </w:p>
        </w:tc>
      </w:tr>
      <w:tr>
        <w:tc>
          <w:tcPr>
            <w:tcW w:type="dxa" w:w="24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Total_Cost_INR</w:t>
            </w:r>
          </w:p>
        </w:tc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Decimal</w:t>
            </w:r>
          </w:p>
        </w:tc>
        <w:tc>
          <w:tcPr>
            <w:tcW w:type="dxa" w:w="486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Total treatment cost in INR</w:t>
            </w:r>
          </w:p>
        </w:tc>
      </w:tr>
      <w:tr>
        <w:tc>
          <w:tcPr>
            <w:tcW w:type="dxa" w:w="24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Revenue_INR</w:t>
            </w:r>
          </w:p>
        </w:tc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Decimal</w:t>
            </w:r>
          </w:p>
        </w:tc>
        <w:tc>
          <w:tcPr>
            <w:tcW w:type="dxa" w:w="486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Revenue generated per visit</w:t>
            </w:r>
          </w:p>
        </w:tc>
      </w:tr>
      <w:tr>
        <w:tc>
          <w:tcPr>
            <w:tcW w:type="dxa" w:w="24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Satisfaction_Score</w:t>
            </w:r>
          </w:p>
        </w:tc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CSAT score (1–5 scale)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Segoe UI" w:cs="Segoe UI" w:eastAsia="Segoe UI" w:hAnsi="Segoe UI"/>
          <w:b/>
          <w:bCs/>
          <w:color w:val="0078D4"/>
          <w:sz w:val="28"/>
          <w:szCs w:val="28"/>
        </w:rPr>
        <w:t xml:space="preserve">2. Problems Identified in the Healthcare Sector</w:t>
      </w:r>
    </w:p>
    <w:p>
      <w:pPr>
        <w:pBdr>
          <w:bottom w:val="single" w:color="0078D4" w:sz="8" w:space="1"/>
        </w:pBd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Segoe UI" w:cs="Segoe UI" w:eastAsia="Segoe UI" w:hAnsi="Segoe UI"/>
          <w:sz w:val="21"/>
          <w:szCs w:val="21"/>
        </w:rPr>
        <w:t xml:space="preserve">Based on the dataset and dashboard analysis, the following critical problems have been identified in the healthcare sector:</w:t>
      </w:r>
    </w:p>
    <w:p>
      <w:pPr>
        <w:spacing w:before="140"/>
      </w:pPr>
      <w:r>
        <w:rPr>
          <w:rFonts w:ascii="Segoe UI" w:cs="Segoe UI" w:eastAsia="Segoe UI" w:hAnsi="Segoe UI"/>
          <w:b/>
          <w:bCs/>
          <w:color w:val="A4262C"/>
          <w:sz w:val="22"/>
          <w:szCs w:val="22"/>
        </w:rPr>
        <w:t xml:space="preserve">P1 — High Readmission Rates</w:t>
      </w:r>
    </w:p>
    <w:p>
      <w:pPr>
        <w:spacing w:after="60" w:before="60"/>
      </w:pPr>
      <w:r>
        <w:rPr>
          <w:rFonts w:ascii="Segoe UI" w:cs="Segoe UI" w:eastAsia="Segoe UI" w:hAnsi="Segoe UI"/>
          <w:sz w:val="21"/>
          <w:szCs w:val="21"/>
        </w:rPr>
        <w:t xml:space="preserve">The overall 30-day readmission rate stands at 9.2%, significantly above the target of 8%. ICU (13.6%) and Cardiology (11.4%) departments are the worst performers, indicating gaps in post-discharge care and follow-up protocols.</w:t>
      </w:r>
    </w:p>
    <w:p>
      <w:pPr>
        <w:spacing w:before="120"/>
      </w:pPr>
      <w:r>
        <w:rPr>
          <w:rFonts w:ascii="Segoe UI" w:cs="Segoe UI" w:eastAsia="Segoe UI" w:hAnsi="Segoe UI"/>
          <w:b/>
          <w:bCs/>
          <w:color w:val="A4262C"/>
          <w:sz w:val="22"/>
          <w:szCs w:val="22"/>
        </w:rPr>
        <w:t xml:space="preserve">P2 — ICU Overcrowding (Bed Occupancy 94%)</w:t>
      </w:r>
    </w:p>
    <w:p>
      <w:pPr>
        <w:spacing w:after="60" w:before="60"/>
      </w:pPr>
      <w:r>
        <w:rPr>
          <w:rFonts w:ascii="Segoe UI" w:cs="Segoe UI" w:eastAsia="Segoe UI" w:hAnsi="Segoe UI"/>
          <w:sz w:val="21"/>
          <w:szCs w:val="21"/>
        </w:rPr>
        <w:t xml:space="preserve">The ICU department shows 94% bed occupancy — critically above the safe threshold of 80%. This signals a shortage of critical care capacity and risk of patient safety incidents due to resource constraints.</w:t>
      </w:r>
    </w:p>
    <w:p>
      <w:pPr>
        <w:spacing w:before="120"/>
      </w:pPr>
      <w:r>
        <w:rPr>
          <w:rFonts w:ascii="Segoe UI" w:cs="Segoe UI" w:eastAsia="Segoe UI" w:hAnsi="Segoe UI"/>
          <w:b/>
          <w:bCs/>
          <w:color w:val="E8B300"/>
          <w:sz w:val="22"/>
          <w:szCs w:val="22"/>
        </w:rPr>
        <w:t xml:space="preserve">P3 — Excessive Wait Times in Cardiology &amp; ICU</w:t>
      </w:r>
    </w:p>
    <w:p>
      <w:pPr>
        <w:spacing w:after="60" w:before="60"/>
      </w:pPr>
      <w:r>
        <w:rPr>
          <w:rFonts w:ascii="Segoe UI" w:cs="Segoe UI" w:eastAsia="Segoe UI" w:hAnsi="Segoe UI"/>
          <w:sz w:val="21"/>
          <w:szCs w:val="21"/>
        </w:rPr>
        <w:t xml:space="preserve">Average wait time in the ICU is 67 minutes and Cardiology is 52 minutes — well above the acceptable 30-minute benchmark. Long wait times negatively impact patient outcomes, especially for time-sensitive cardiac events.</w:t>
      </w:r>
    </w:p>
    <w:p>
      <w:pPr>
        <w:spacing w:before="120"/>
      </w:pPr>
      <w:r>
        <w:rPr>
          <w:rFonts w:ascii="Segoe UI" w:cs="Segoe UI" w:eastAsia="Segoe UI" w:hAnsi="Segoe UI"/>
          <w:b/>
          <w:bCs/>
          <w:color w:val="E8B300"/>
          <w:sz w:val="22"/>
          <w:szCs w:val="22"/>
        </w:rPr>
        <w:t xml:space="preserve">P4 — High Average Length of Stay in Neurology &amp; ICU</w:t>
      </w:r>
    </w:p>
    <w:p>
      <w:pPr>
        <w:spacing w:after="60" w:before="60"/>
      </w:pPr>
      <w:r>
        <w:rPr>
          <w:rFonts w:ascii="Segoe UI" w:cs="Segoe UI" w:eastAsia="Segoe UI" w:hAnsi="Segoe UI"/>
          <w:sz w:val="21"/>
          <w:szCs w:val="21"/>
        </w:rPr>
        <w:t xml:space="preserve">Neurology (5.8 days) and ICU (7.4 days) have significantly higher Length of Stay (LOS) than the 5-day target. Prolonged stays increase operational cost and reduce bed availability for incoming patients.</w:t>
      </w:r>
    </w:p>
    <w:p>
      <w:pPr>
        <w:spacing w:before="120"/>
      </w:pPr>
      <w:r>
        <w:rPr>
          <w:rFonts w:ascii="Segoe UI" w:cs="Segoe UI" w:eastAsia="Segoe UI" w:hAnsi="Segoe UI"/>
          <w:b/>
          <w:bCs/>
          <w:color w:val="1E2025"/>
          <w:sz w:val="22"/>
          <w:szCs w:val="22"/>
        </w:rPr>
        <w:t xml:space="preserve">P5 — Rising Treatment Costs vs. Revenue Gap</w:t>
      </w:r>
    </w:p>
    <w:p>
      <w:pPr>
        <w:spacing w:after="60" w:before="60"/>
      </w:pPr>
      <w:r>
        <w:rPr>
          <w:rFonts w:ascii="Segoe UI" w:cs="Segoe UI" w:eastAsia="Segoe UI" w:hAnsi="Segoe UI"/>
          <w:sz w:val="21"/>
          <w:szCs w:val="21"/>
        </w:rPr>
        <w:t xml:space="preserve">The Revenue vs. Cost area chart reveals that while the hospital maintains a positive margin, the cost growth rate (avg ₹355L/month) is approaching revenue levels (avg ₹472L/month), risking financial sustainability.</w:t>
      </w:r>
    </w:p>
    <w:p>
      <w:pPr>
        <w:spacing w:before="120"/>
      </w:pPr>
      <w:r>
        <w:rPr>
          <w:rFonts w:ascii="Segoe UI" w:cs="Segoe UI" w:eastAsia="Segoe UI" w:hAnsi="Segoe UI"/>
          <w:b/>
          <w:bCs/>
          <w:color w:val="1E2025"/>
          <w:sz w:val="22"/>
          <w:szCs w:val="22"/>
        </w:rPr>
        <w:t xml:space="preserve">P6 — Elderly Patient Load (60+ age group)</w:t>
      </w:r>
    </w:p>
    <w:p>
      <w:pPr>
        <w:spacing w:after="60" w:before="60"/>
      </w:pPr>
      <w:r>
        <w:rPr>
          <w:rFonts w:ascii="Segoe UI" w:cs="Segoe UI" w:eastAsia="Segoe UI" w:hAnsi="Segoe UI"/>
          <w:sz w:val="21"/>
          <w:szCs w:val="21"/>
        </w:rPr>
        <w:t xml:space="preserve">Patients aged 60–74 years constitute the largest group (10,300 patients), placing high demand on specialized care. This demographic requires targeted chronic disease management protocols.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Segoe UI" w:cs="Segoe UI" w:eastAsia="Segoe UI" w:hAnsi="Segoe UI"/>
          <w:b/>
          <w:bCs/>
          <w:color w:val="0078D4"/>
          <w:sz w:val="28"/>
          <w:szCs w:val="28"/>
        </w:rPr>
        <w:t xml:space="preserve">3. List of Key Performance Indicators (KPIs)</w:t>
      </w:r>
    </w:p>
    <w:p>
      <w:pPr>
        <w:pBdr>
          <w:bottom w:val="single" w:color="0078D4" w:sz="8" w:space="1"/>
        </w:pBdr>
        <w:spacing w:after="80" w:before="80"/>
      </w:pPr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800"/>
        <w:gridCol w:w="900"/>
        <w:gridCol w:w="1000"/>
        <w:gridCol w:w="1460"/>
      </w:tblGrid>
      <w:tr>
        <w:trPr>
          <w:tblHeader/>
        </w:trPr>
        <w:tc>
          <w:tcPr>
            <w:tcW w:type="dxa" w:w="4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KPI Name</w:t>
            </w:r>
          </w:p>
        </w:tc>
        <w:tc>
          <w:tcPr>
            <w:tcW w:type="dxa" w:w="28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Formula / Definition</w:t>
            </w:r>
          </w:p>
        </w:tc>
        <w:tc>
          <w:tcPr>
            <w:tcW w:type="dxa" w:w="9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Actual FY24</w:t>
            </w:r>
          </w:p>
        </w:tc>
        <w:tc>
          <w:tcPr>
            <w:tcW w:type="dxa" w:w="146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Total Patients</w:t>
            </w:r>
          </w:p>
        </w:tc>
        <w:tc>
          <w:tcPr>
            <w:tcW w:type="dxa" w:w="28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Count of unique Patient_IDs</w:t>
            </w:r>
          </w:p>
        </w:tc>
        <w:tc>
          <w:tcPr>
            <w:tcW w:type="dxa" w:w="9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45,000</w:t>
            </w:r>
          </w:p>
        </w:tc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48,320</w:t>
            </w:r>
          </w:p>
        </w:tc>
        <w:tc>
          <w:tcPr>
            <w:tcW w:type="dxa" w:w="146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✅ Above Target</w:t>
            </w:r>
          </w:p>
        </w:tc>
      </w:tr>
      <w:tr>
        <w:tc>
          <w:tcPr>
            <w:tcW w:type="dxa" w:w="4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Bed Occupancy Rate</w:t>
            </w:r>
          </w:p>
        </w:tc>
        <w:tc>
          <w:tcPr>
            <w:tcW w:type="dxa" w:w="28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(Beds Occupied / Total Beds) × 100</w:t>
            </w:r>
          </w:p>
        </w:tc>
        <w:tc>
          <w:tcPr>
            <w:tcW w:type="dxa" w:w="9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≤ 80%</w:t>
            </w:r>
          </w:p>
        </w:tc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82%</w:t>
            </w:r>
          </w:p>
        </w:tc>
        <w:tc>
          <w:tcPr>
            <w:tcW w:type="dxa" w:w="146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⚠️ Warning</w:t>
            </w:r>
          </w:p>
        </w:tc>
      </w:tr>
      <w:tr>
        <w:tc>
          <w:tcPr>
            <w:tcW w:type="dxa" w:w="4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Avg. Length of Stay</w:t>
            </w:r>
          </w:p>
        </w:tc>
        <w:tc>
          <w:tcPr>
            <w:tcW w:type="dxa" w:w="28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Average (Discharge_Date − Admission_Date)</w:t>
            </w:r>
          </w:p>
        </w:tc>
        <w:tc>
          <w:tcPr>
            <w:tcW w:type="dxa" w:w="9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≤ 5 days</w:t>
            </w:r>
          </w:p>
        </w:tc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4.8 days</w:t>
            </w:r>
          </w:p>
        </w:tc>
        <w:tc>
          <w:tcPr>
            <w:tcW w:type="dxa" w:w="146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✅ On Track</w:t>
            </w:r>
          </w:p>
        </w:tc>
      </w:tr>
      <w:tr>
        <w:tc>
          <w:tcPr>
            <w:tcW w:type="dxa" w:w="4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30-Day Readmission Rate</w:t>
            </w:r>
          </w:p>
        </w:tc>
        <w:tc>
          <w:tcPr>
            <w:tcW w:type="dxa" w:w="28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(Readmitted Patients / Discharges) × 100</w:t>
            </w:r>
          </w:p>
        </w:tc>
        <w:tc>
          <w:tcPr>
            <w:tcW w:type="dxa" w:w="9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&lt; 8%</w:t>
            </w:r>
          </w:p>
        </w:tc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9.2%</w:t>
            </w:r>
          </w:p>
        </w:tc>
        <w:tc>
          <w:tcPr>
            <w:tcW w:type="dxa" w:w="146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❌ Critical</w:t>
            </w:r>
          </w:p>
        </w:tc>
      </w:tr>
      <w:tr>
        <w:tc>
          <w:tcPr>
            <w:tcW w:type="dxa" w:w="4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Patient Satisfaction</w:t>
            </w:r>
          </w:p>
        </w:tc>
        <w:tc>
          <w:tcPr>
            <w:tcW w:type="dxa" w:w="28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Avg. Satisfaction Score (1–5) → %</w:t>
            </w:r>
          </w:p>
        </w:tc>
        <w:tc>
          <w:tcPr>
            <w:tcW w:type="dxa" w:w="9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≥ 85%</w:t>
            </w:r>
          </w:p>
        </w:tc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87%</w:t>
            </w:r>
          </w:p>
        </w:tc>
        <w:tc>
          <w:tcPr>
            <w:tcW w:type="dxa" w:w="146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✅ On Track</w:t>
            </w:r>
          </w:p>
        </w:tc>
      </w:tr>
      <w:tr>
        <w:tc>
          <w:tcPr>
            <w:tcW w:type="dxa" w:w="4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Avg. Wait Time</w:t>
            </w:r>
          </w:p>
        </w:tc>
        <w:tc>
          <w:tcPr>
            <w:tcW w:type="dxa" w:w="28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Average Wait_Time_Min per department</w:t>
            </w:r>
          </w:p>
        </w:tc>
        <w:tc>
          <w:tcPr>
            <w:tcW w:type="dxa" w:w="9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&lt; 30 min</w:t>
            </w:r>
          </w:p>
        </w:tc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38 min</w:t>
            </w:r>
          </w:p>
        </w:tc>
        <w:tc>
          <w:tcPr>
            <w:tcW w:type="dxa" w:w="146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⚠️ Warning</w:t>
            </w:r>
          </w:p>
        </w:tc>
      </w:tr>
      <w:tr>
        <w:tc>
          <w:tcPr>
            <w:tcW w:type="dxa" w:w="4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Treatment Recovery Rate</w:t>
            </w:r>
          </w:p>
        </w:tc>
        <w:tc>
          <w:tcPr>
            <w:tcW w:type="dxa" w:w="28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(Recovered Patients / Total) × 100</w:t>
            </w:r>
          </w:p>
        </w:tc>
        <w:tc>
          <w:tcPr>
            <w:tcW w:type="dxa" w:w="9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≥ 85%</w:t>
            </w:r>
          </w:p>
        </w:tc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79.8%</w:t>
            </w:r>
          </w:p>
        </w:tc>
        <w:tc>
          <w:tcPr>
            <w:tcW w:type="dxa" w:w="146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⚠️ Warning</w:t>
            </w:r>
          </w:p>
        </w:tc>
      </w:tr>
      <w:tr>
        <w:tc>
          <w:tcPr>
            <w:tcW w:type="dxa" w:w="4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ICU Occupancy Rate</w:t>
            </w:r>
          </w:p>
        </w:tc>
        <w:tc>
          <w:tcPr>
            <w:tcW w:type="dxa" w:w="28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ICU Beds Occupied / Total ICU Beds</w:t>
            </w:r>
          </w:p>
        </w:tc>
        <w:tc>
          <w:tcPr>
            <w:tcW w:type="dxa" w:w="9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≤ 80%</w:t>
            </w:r>
          </w:p>
        </w:tc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94%</w:t>
            </w:r>
          </w:p>
        </w:tc>
        <w:tc>
          <w:tcPr>
            <w:tcW w:type="dxa" w:w="146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❌ Critical</w:t>
            </w:r>
          </w:p>
        </w:tc>
      </w:tr>
      <w:tr>
        <w:tc>
          <w:tcPr>
            <w:tcW w:type="dxa" w:w="4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Monthly Admissions</w:t>
            </w:r>
          </w:p>
        </w:tc>
        <w:tc>
          <w:tcPr>
            <w:tcW w:type="dxa" w:w="28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Count of admissions per month</w:t>
            </w:r>
          </w:p>
        </w:tc>
        <w:tc>
          <w:tcPr>
            <w:tcW w:type="dxa" w:w="9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4,000</w:t>
            </w:r>
          </w:p>
        </w:tc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4,027</w:t>
            </w:r>
          </w:p>
        </w:tc>
        <w:tc>
          <w:tcPr>
            <w:tcW w:type="dxa" w:w="146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✅ On Track</w:t>
            </w:r>
          </w:p>
        </w:tc>
      </w:tr>
      <w:tr>
        <w:tc>
          <w:tcPr>
            <w:tcW w:type="dxa" w:w="4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Cost per Patient</w:t>
            </w:r>
          </w:p>
        </w:tc>
        <w:tc>
          <w:tcPr>
            <w:tcW w:type="dxa" w:w="28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Total Cost / Total Patients</w:t>
            </w:r>
          </w:p>
        </w:tc>
        <w:tc>
          <w:tcPr>
            <w:tcW w:type="dxa" w:w="9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≤ ₹88K</w:t>
            </w:r>
          </w:p>
        </w:tc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₹88.2K</w:t>
            </w:r>
          </w:p>
        </w:tc>
        <w:tc>
          <w:tcPr>
            <w:tcW w:type="dxa" w:w="146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⚠️ Warning</w:t>
            </w:r>
          </w:p>
        </w:tc>
      </w:tr>
      <w:tr>
        <w:tc>
          <w:tcPr>
            <w:tcW w:type="dxa" w:w="4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11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Revenue per Patient</w:t>
            </w:r>
          </w:p>
        </w:tc>
        <w:tc>
          <w:tcPr>
            <w:tcW w:type="dxa" w:w="28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Total Revenue / Total Patients</w:t>
            </w:r>
          </w:p>
        </w:tc>
        <w:tc>
          <w:tcPr>
            <w:tcW w:type="dxa" w:w="9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≥ ₹117K</w:t>
            </w:r>
          </w:p>
        </w:tc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₹117.5K</w:t>
            </w:r>
          </w:p>
        </w:tc>
        <w:tc>
          <w:tcPr>
            <w:tcW w:type="dxa" w:w="146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✅ On Track</w:t>
            </w:r>
          </w:p>
        </w:tc>
      </w:tr>
      <w:tr>
        <w:tc>
          <w:tcPr>
            <w:tcW w:type="dxa" w:w="4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Mortality Rate</w:t>
            </w:r>
          </w:p>
        </w:tc>
        <w:tc>
          <w:tcPr>
            <w:tcW w:type="dxa" w:w="28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(Expired Patients / Total Admissions)×100</w:t>
            </w:r>
          </w:p>
        </w:tc>
        <w:tc>
          <w:tcPr>
            <w:tcW w:type="dxa" w:w="9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&lt; 3%</w:t>
            </w:r>
          </w:p>
        </w:tc>
        <w:tc>
          <w:tcPr>
            <w:tcW w:type="dxa" w:w="1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3.4%</w:t>
            </w:r>
          </w:p>
        </w:tc>
        <w:tc>
          <w:tcPr>
            <w:tcW w:type="dxa" w:w="146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⚠️ Warning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Segoe UI" w:cs="Segoe UI" w:eastAsia="Segoe UI" w:hAnsi="Segoe UI"/>
          <w:b/>
          <w:bCs/>
          <w:color w:val="0078D4"/>
          <w:sz w:val="28"/>
          <w:szCs w:val="28"/>
        </w:rPr>
        <w:t xml:space="preserve">4. Screenshot of Dashboard</w:t>
      </w:r>
    </w:p>
    <w:p>
      <w:pPr>
        <w:pBdr>
          <w:bottom w:val="single" w:color="0078D4" w:sz="8" w:space="1"/>
        </w:pBdr>
        <w:spacing w:after="80" w:before="80"/>
      </w:pPr>
      <w:r>
        <w:t xml:space="preserve"/>
      </w:r>
    </w:p>
    <w:p>
      <w:pPr>
        <w:pBdr>
          <w:top w:val="single" w:color="0078D4" w:sz="4"/>
          <w:bottom w:val="single" w:color="0078D4" w:sz="4"/>
          <w:left w:val="single" w:color="0078D4" w:sz="4"/>
          <w:right w:val="single" w:color="0078D4" w:sz="4"/>
        </w:pBdr>
        <w:shd w:fill="DBEAFE" w:val="clear"/>
        <w:spacing w:after="200" w:before="200"/>
        <w:jc w:val="center"/>
      </w:pPr>
      <w:r>
        <w:rPr>
          <w:rFonts w:ascii="Segoe UI" w:cs="Segoe UI" w:eastAsia="Segoe UI" w:hAnsi="Segoe UI"/>
          <w:b/>
          <w:bCs/>
          <w:color w:val="0078D4"/>
          <w:sz w:val="22"/>
          <w:szCs w:val="22"/>
        </w:rPr>
        <w:t xml:space="preserve">[ INSERT DASHBOARD SCREENSHOT HERE ]</w:t>
      </w:r>
      <w:r>
        <w:br/>
      </w:r>
      <w:r>
        <w:rPr>
          <w:rFonts w:ascii="Segoe UI" w:cs="Segoe UI" w:eastAsia="Segoe UI" w:hAnsi="Segoe UI"/>
          <w:color w:val="605E5C"/>
          <w:sz w:val="18"/>
          <w:szCs w:val="18"/>
        </w:rPr>
        <w:t xml:space="preserve">Open healthcare_powerbi.html in browser → Press F11 (Fullscreen) → Screenshot (Win+Shift+S)</w:t>
      </w:r>
    </w:p>
    <w:p>
      <w:pPr>
        <w:spacing w:after="60" w:before="60"/>
      </w:pPr>
      <w:r>
        <w:rPr>
          <w:rFonts w:ascii="Segoe UI" w:cs="Segoe UI" w:eastAsia="Segoe UI" w:hAnsi="Segoe UI"/>
          <w:sz w:val="21"/>
          <w:szCs w:val="21"/>
        </w:rPr>
        <w:t xml:space="preserve">The Power BI-style Healthcare Analytics Dashboard (healthcare_powerbi.html) presents: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5 KPI Cards — Total Patients, Bed Occupancy, Avg. LOS, Readmission Rate, Patient Satisfaction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Monthly Patient Admissions vs Discharges — Clustered Line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Disease Category Distribution — Donut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Bed Occupancy by Department — Clustered Bar Chart (Actual vs Target)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Treatment Outcomes by Department — 100% Stacked Bar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Department Performance Matrix — Table Visual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Average Wait Time by Department — Horizontal Bar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Patients by Age Group — Column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Revenue vs Cost (Monthly) — Area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Readmission Rate Trend — Line Chart with Target 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Interactive Slicers — Year, Quarter, Department, Gender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Segoe UI" w:cs="Segoe UI" w:eastAsia="Segoe UI" w:hAnsi="Segoe UI"/>
          <w:b/>
          <w:bCs/>
          <w:color w:val="0078D4"/>
          <w:sz w:val="28"/>
          <w:szCs w:val="28"/>
        </w:rPr>
        <w:t xml:space="preserve">5. Data Visualizations — Details</w:t>
      </w:r>
    </w:p>
    <w:p>
      <w:pPr>
        <w:pBdr>
          <w:bottom w:val="single" w:color="0078D4" w:sz="8" w:space="1"/>
        </w:pBd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1E2025"/>
          <w:sz w:val="22"/>
          <w:szCs w:val="22"/>
        </w:rPr>
        <w:t xml:space="preserve">1. Monthly Patient Admissions vs Discharges</w:t>
      </w:r>
    </w:p>
    <w:p>
      <w:pPr>
        <w:pBdr>
          <w:bottom w:val="single" w:color="E8B300" w:sz="8" w:space="1"/>
        </w:pBd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📊 Visualization Type: </w:t>
      </w:r>
    </w:p>
    <w:p>
      <w:pPr>
        <w:spacing w:after="60" w:before="60"/>
      </w:pPr>
      <w:r>
        <w:rPr>
          <w:rFonts w:ascii="Segoe UI" w:cs="Segoe UI" w:eastAsia="Segoe UI" w:hAnsi="Segoe UI"/>
          <w:sz w:val="21"/>
          <w:szCs w:val="21"/>
        </w:rPr>
        <w:t xml:space="preserve">Clustered Line Chart (Multi-Series)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🎯 Purpose: </w:t>
      </w:r>
    </w:p>
    <w:p>
      <w:pPr>
        <w:spacing w:after="60" w:before="60"/>
      </w:pPr>
      <w:r>
        <w:rPr>
          <w:rFonts w:ascii="Segoe UI" w:cs="Segoe UI" w:eastAsia="Segoe UI" w:hAnsi="Segoe UI"/>
          <w:sz w:val="21"/>
          <w:szCs w:val="21"/>
        </w:rPr>
        <w:t xml:space="preserve">To track the monthly volume trend of patient admissions, discharges, and deaths across FY 2024. Helps identify seasonal peaks, operational load, and discharge efficiency.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⚙️ Parameters: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X-Axis: Months (Jan–Dec 2024)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Y-Axis: Patient Count (0–5000)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Series 1: Admissions (Blue 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Series 2: Discharges (Yellow 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Series 3: Deaths (Red 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Data Labels: On hover (tooltip)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Legend: Bottom of visual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📌 Related KPIs: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Monthly Admissions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30-Day Readmission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Treatment Recovery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Mortality Rate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sz w:val="21"/>
          <w:szCs w:val="21"/>
        </w:rPr>
        <w:br/>
        <w:t xml:space="preserve">📋 Data Table: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2000"/>
      </w:tblGrid>
      <w:tr>
        <w:trPr>
          <w:tblHeader/>
        </w:trPr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Admissions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Discharges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Deaths</w:t>
            </w:r>
          </w:p>
        </w:tc>
      </w:tr>
      <w:tr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January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3,800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3,650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120</w:t>
            </w:r>
          </w:p>
        </w:tc>
      </w:tr>
      <w:tr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February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3,600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3,500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110</w:t>
            </w:r>
          </w:p>
        </w:tc>
      </w:tr>
      <w:tr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March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4,100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3,980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135</w:t>
            </w:r>
          </w:p>
        </w:tc>
      </w:tr>
      <w:tr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April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3,950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3,800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115</w:t>
            </w:r>
          </w:p>
        </w:tc>
      </w:tr>
      <w:tr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May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4,200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4,050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130</w:t>
            </w:r>
          </w:p>
        </w:tc>
      </w:tr>
      <w:tr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June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4,400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4,200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140</w:t>
            </w:r>
          </w:p>
        </w:tc>
      </w:tr>
      <w:tr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July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4,100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3,900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125</w:t>
            </w:r>
          </w:p>
        </w:tc>
      </w:tr>
      <w:tr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August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4,350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4,200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145</w:t>
            </w:r>
          </w:p>
        </w:tc>
      </w:tr>
      <w:tr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September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4,500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4,300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150</w:t>
            </w:r>
          </w:p>
        </w:tc>
      </w:tr>
      <w:tr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October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4,200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4,100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130</w:t>
            </w:r>
          </w:p>
        </w:tc>
      </w:tr>
      <w:tr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November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4,050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3,900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125</w:t>
            </w:r>
          </w:p>
        </w:tc>
      </w:tr>
      <w:tr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December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3,870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3,750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118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1E2025"/>
          <w:sz w:val="22"/>
          <w:szCs w:val="22"/>
        </w:rPr>
        <w:t xml:space="preserve">2. Disease Category Distribution</w:t>
      </w:r>
    </w:p>
    <w:p>
      <w:pPr>
        <w:pBdr>
          <w:bottom w:val="single" w:color="E8B300" w:sz="8" w:space="1"/>
        </w:pBd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📊 Visualization Type: </w:t>
      </w:r>
    </w:p>
    <w:p>
      <w:pPr>
        <w:spacing w:after="60" w:before="60"/>
      </w:pPr>
      <w:r>
        <w:rPr>
          <w:rFonts w:ascii="Segoe UI" w:cs="Segoe UI" w:eastAsia="Segoe UI" w:hAnsi="Segoe UI"/>
          <w:sz w:val="21"/>
          <w:szCs w:val="21"/>
        </w:rPr>
        <w:t xml:space="preserve">Donut Chart (Pie/Ring)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🎯 Purpose: </w:t>
      </w:r>
    </w:p>
    <w:p>
      <w:pPr>
        <w:spacing w:after="60" w:before="60"/>
      </w:pPr>
      <w:r>
        <w:rPr>
          <w:rFonts w:ascii="Segoe UI" w:cs="Segoe UI" w:eastAsia="Segoe UI" w:hAnsi="Segoe UI"/>
          <w:sz w:val="21"/>
          <w:szCs w:val="21"/>
        </w:rPr>
        <w:t xml:space="preserve">To display the proportional distribution of patients across six major disease categories. Helps hospital administrators allocate specialists, beds, and resources to high-demand departments.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⚙️ Parameters: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Chart Type: Donut (65% cutout)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Segments: 6 disease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Values: Percentage share (%)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Color-coded by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Inner Label: Total Patient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Legend: Below chart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📌 Related KPIs: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Total Patients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Bed Occupancy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Treatment Recovery Rate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sz w:val="21"/>
          <w:szCs w:val="21"/>
        </w:rPr>
        <w:br/>
        <w:t xml:space="preserve">📋 Data Table: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000"/>
      </w:tblGrid>
      <w:tr>
        <w:trPr>
          <w:tblHeader/>
        </w:trPr>
        <w:tc>
          <w:tcPr>
            <w:tcW w:type="dxa" w:w="3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Disease Category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Patient Count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% Share</w:t>
            </w:r>
          </w:p>
        </w:tc>
      </w:tr>
      <w:tr>
        <w:tc>
          <w:tcPr>
            <w:tcW w:type="dxa" w:w="3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Cardiac / Heart Disease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10,630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22%</w:t>
            </w:r>
          </w:p>
        </w:tc>
      </w:tr>
      <w:tr>
        <w:tc>
          <w:tcPr>
            <w:tcW w:type="dxa" w:w="3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Orthopaedics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8,698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18%</w:t>
            </w:r>
          </w:p>
        </w:tc>
      </w:tr>
      <w:tr>
        <w:tc>
          <w:tcPr>
            <w:tcW w:type="dxa" w:w="3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Neurology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7,248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15%</w:t>
            </w:r>
          </w:p>
        </w:tc>
      </w:tr>
      <w:tr>
        <w:tc>
          <w:tcPr>
            <w:tcW w:type="dxa" w:w="3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Respiratory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6,765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14%</w:t>
            </w:r>
          </w:p>
        </w:tc>
      </w:tr>
      <w:tr>
        <w:tc>
          <w:tcPr>
            <w:tcW w:type="dxa" w:w="3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Diabetes / Endocrine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5,798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12%</w:t>
            </w:r>
          </w:p>
        </w:tc>
      </w:tr>
      <w:tr>
        <w:tc>
          <w:tcPr>
            <w:tcW w:type="dxa" w:w="3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Others (GI, Urology, etc.)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9,181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19%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1E2025"/>
          <w:sz w:val="22"/>
          <w:szCs w:val="22"/>
        </w:rPr>
        <w:t xml:space="preserve">3. Bed Occupancy by Department</w:t>
      </w:r>
    </w:p>
    <w:p>
      <w:pPr>
        <w:pBdr>
          <w:bottom w:val="single" w:color="E8B300" w:sz="8" w:space="1"/>
        </w:pBd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📊 Visualization Type: </w:t>
      </w:r>
    </w:p>
    <w:p>
      <w:pPr>
        <w:spacing w:after="60" w:before="60"/>
      </w:pPr>
      <w:r>
        <w:rPr>
          <w:rFonts w:ascii="Segoe UI" w:cs="Segoe UI" w:eastAsia="Segoe UI" w:hAnsi="Segoe UI"/>
          <w:sz w:val="21"/>
          <w:szCs w:val="21"/>
        </w:rPr>
        <w:t xml:space="preserve">Clustered Bar Chart (Grouped — Actual vs Target)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🎯 Purpose: </w:t>
      </w:r>
    </w:p>
    <w:p>
      <w:pPr>
        <w:spacing w:after="60" w:before="60"/>
      </w:pPr>
      <w:r>
        <w:rPr>
          <w:rFonts w:ascii="Segoe UI" w:cs="Segoe UI" w:eastAsia="Segoe UI" w:hAnsi="Segoe UI"/>
          <w:sz w:val="21"/>
          <w:szCs w:val="21"/>
        </w:rPr>
        <w:t xml:space="preserve">To compare actual bed occupancy percentage against the 80% target across all departments. Immediately highlights overcrowded departments (ICU, Cardiology) requiring urgent capacity management.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⚙️ Parameters: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X-Axis: Departments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Y-Axis: Occupancy % (0–100%)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Bar Group 1: Actual % (Color-coded)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Bar Group 2: Target 80% (Grey)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Color Logic: Red = critical (&gt;85%), Yellow = warning (80–85%), Green = normal (&lt;80%)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📌 Related KPIs: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Bed Occupancy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ICU Occupancy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Total Patients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sz w:val="21"/>
          <w:szCs w:val="21"/>
        </w:rPr>
        <w:br/>
        <w:t xml:space="preserve">📋 Data Table: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800"/>
        <w:gridCol w:w="2200"/>
      </w:tblGrid>
      <w:tr>
        <w:trPr>
          <w:tblHeader/>
        </w:trPr>
        <w:tc>
          <w:tcPr>
            <w:tcW w:type="dxa" w:w="24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Department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Actual Occupancy%</w:t>
            </w:r>
          </w:p>
        </w:tc>
        <w:tc>
          <w:tcPr>
            <w:tcW w:type="dxa" w:w="18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Cardiology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88%</w:t>
            </w:r>
          </w:p>
        </w:tc>
        <w:tc>
          <w:tcPr>
            <w:tcW w:type="dxa" w:w="18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80%</w:t>
            </w:r>
          </w:p>
        </w:tc>
        <w:tc>
          <w:tcPr>
            <w:tcW w:type="dxa" w:w="2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⚠️ Warning</w:t>
            </w:r>
          </w:p>
        </w:tc>
      </w:tr>
      <w:tr>
        <w:tc>
          <w:tcPr>
            <w:tcW w:type="dxa" w:w="24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Orthopaedics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76%</w:t>
            </w:r>
          </w:p>
        </w:tc>
        <w:tc>
          <w:tcPr>
            <w:tcW w:type="dxa" w:w="18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80%</w:t>
            </w:r>
          </w:p>
        </w:tc>
        <w:tc>
          <w:tcPr>
            <w:tcW w:type="dxa" w:w="2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✅ Good</w:t>
            </w:r>
          </w:p>
        </w:tc>
      </w:tr>
      <w:tr>
        <w:tc>
          <w:tcPr>
            <w:tcW w:type="dxa" w:w="24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Neurology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85%</w:t>
            </w:r>
          </w:p>
        </w:tc>
        <w:tc>
          <w:tcPr>
            <w:tcW w:type="dxa" w:w="18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80%</w:t>
            </w:r>
          </w:p>
        </w:tc>
        <w:tc>
          <w:tcPr>
            <w:tcW w:type="dxa" w:w="2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⚠️ Warning</w:t>
            </w:r>
          </w:p>
        </w:tc>
      </w:tr>
      <w:tr>
        <w:tc>
          <w:tcPr>
            <w:tcW w:type="dxa" w:w="24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ICU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94%</w:t>
            </w:r>
          </w:p>
        </w:tc>
        <w:tc>
          <w:tcPr>
            <w:tcW w:type="dxa" w:w="18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80%</w:t>
            </w:r>
          </w:p>
        </w:tc>
        <w:tc>
          <w:tcPr>
            <w:tcW w:type="dxa" w:w="2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❌ Critical</w:t>
            </w:r>
          </w:p>
        </w:tc>
      </w:tr>
      <w:tr>
        <w:tc>
          <w:tcPr>
            <w:tcW w:type="dxa" w:w="24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Respiratory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81%</w:t>
            </w:r>
          </w:p>
        </w:tc>
        <w:tc>
          <w:tcPr>
            <w:tcW w:type="dxa" w:w="18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80%</w:t>
            </w:r>
          </w:p>
        </w:tc>
        <w:tc>
          <w:tcPr>
            <w:tcW w:type="dxa" w:w="2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⚠️ Borderline</w:t>
            </w:r>
          </w:p>
        </w:tc>
      </w:tr>
      <w:tr>
        <w:tc>
          <w:tcPr>
            <w:tcW w:type="dxa" w:w="24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OPD / General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69%</w:t>
            </w:r>
          </w:p>
        </w:tc>
        <w:tc>
          <w:tcPr>
            <w:tcW w:type="dxa" w:w="18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80%</w:t>
            </w:r>
          </w:p>
        </w:tc>
        <w:tc>
          <w:tcPr>
            <w:tcW w:type="dxa" w:w="2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✅ Good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1E2025"/>
          <w:sz w:val="22"/>
          <w:szCs w:val="22"/>
        </w:rPr>
        <w:t xml:space="preserve">4. Treatment Outcomes by Department</w:t>
      </w:r>
    </w:p>
    <w:p>
      <w:pPr>
        <w:pBdr>
          <w:bottom w:val="single" w:color="E8B300" w:sz="8" w:space="1"/>
        </w:pBd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📊 Visualization Type: </w:t>
      </w:r>
    </w:p>
    <w:p>
      <w:pPr>
        <w:spacing w:after="60" w:before="60"/>
      </w:pPr>
      <w:r>
        <w:rPr>
          <w:rFonts w:ascii="Segoe UI" w:cs="Segoe UI" w:eastAsia="Segoe UI" w:hAnsi="Segoe UI"/>
          <w:sz w:val="21"/>
          <w:szCs w:val="21"/>
        </w:rPr>
        <w:t xml:space="preserve">100% Stacked Bar Chart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🎯 Purpose: </w:t>
      </w:r>
    </w:p>
    <w:p>
      <w:pPr>
        <w:spacing w:after="60" w:before="60"/>
      </w:pPr>
      <w:r>
        <w:rPr>
          <w:rFonts w:ascii="Segoe UI" w:cs="Segoe UI" w:eastAsia="Segoe UI" w:hAnsi="Segoe UI"/>
          <w:sz w:val="21"/>
          <w:szCs w:val="21"/>
        </w:rPr>
        <w:t xml:space="preserve">To compare the proportion of Recovered, Referred, and Expired patients across departments. Identifies departments with poor recovery rates or high mortality for targeted clinical intervention.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⚙️ Parameters: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X-Axis: Departments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Y-Axis: Percentage (0–100%)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Stack 1 (Green): Recovered 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Stack 2 (Yellow): Referred 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Stack 3 (Red): Expired 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Total always sums to 100%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📌 Related KPIs: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Treatment Recovery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Mortality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Readmission Rate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sz w:val="21"/>
          <w:szCs w:val="21"/>
        </w:rPr>
        <w:br/>
        <w:t xml:space="preserve">📋 Data Table: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700"/>
        <w:gridCol w:w="1500"/>
      </w:tblGrid>
      <w:tr>
        <w:trPr>
          <w:tblHeader/>
        </w:trP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8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Recovered%</w:t>
            </w:r>
          </w:p>
        </w:tc>
        <w:tc>
          <w:tcPr>
            <w:tcW w:type="dxa" w:w="17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Referred%</w:t>
            </w:r>
          </w:p>
        </w:tc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Expired%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Cardiology</w:t>
            </w:r>
          </w:p>
        </w:tc>
        <w:tc>
          <w:tcPr>
            <w:tcW w:type="dxa" w:w="18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78%</w:t>
            </w:r>
          </w:p>
        </w:tc>
        <w:tc>
          <w:tcPr>
            <w:tcW w:type="dxa" w:w="17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15%</w:t>
            </w:r>
          </w:p>
        </w:tc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7%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Orthopaedics</w:t>
            </w:r>
          </w:p>
        </w:tc>
        <w:tc>
          <w:tcPr>
            <w:tcW w:type="dxa" w:w="18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88%</w:t>
            </w:r>
          </w:p>
        </w:tc>
        <w:tc>
          <w:tcPr>
            <w:tcW w:type="dxa" w:w="17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9%</w:t>
            </w:r>
          </w:p>
        </w:tc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3%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Neurology</w:t>
            </w:r>
          </w:p>
        </w:tc>
        <w:tc>
          <w:tcPr>
            <w:tcW w:type="dxa" w:w="18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72%</w:t>
            </w:r>
          </w:p>
        </w:tc>
        <w:tc>
          <w:tcPr>
            <w:tcW w:type="dxa" w:w="17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18%</w:t>
            </w:r>
          </w:p>
        </w:tc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10%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ICU</w:t>
            </w:r>
          </w:p>
        </w:tc>
        <w:tc>
          <w:tcPr>
            <w:tcW w:type="dxa" w:w="18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61%</w:t>
            </w:r>
          </w:p>
        </w:tc>
        <w:tc>
          <w:tcPr>
            <w:tcW w:type="dxa" w:w="17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25%</w:t>
            </w:r>
          </w:p>
        </w:tc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14%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Respiratory</w:t>
            </w:r>
          </w:p>
        </w:tc>
        <w:tc>
          <w:tcPr>
            <w:tcW w:type="dxa" w:w="18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76%</w:t>
            </w:r>
          </w:p>
        </w:tc>
        <w:tc>
          <w:tcPr>
            <w:tcW w:type="dxa" w:w="17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18%</w:t>
            </w:r>
          </w:p>
        </w:tc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6%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OPD / General</w:t>
            </w:r>
          </w:p>
        </w:tc>
        <w:tc>
          <w:tcPr>
            <w:tcW w:type="dxa" w:w="18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93%</w:t>
            </w:r>
          </w:p>
        </w:tc>
        <w:tc>
          <w:tcPr>
            <w:tcW w:type="dxa" w:w="17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5%</w:t>
            </w:r>
          </w:p>
        </w:tc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2%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1E2025"/>
          <w:sz w:val="22"/>
          <w:szCs w:val="22"/>
        </w:rPr>
        <w:t xml:space="preserve">5. Department Performance Matrix</w:t>
      </w:r>
    </w:p>
    <w:p>
      <w:pPr>
        <w:pBdr>
          <w:bottom w:val="single" w:color="E8B300" w:sz="8" w:space="1"/>
        </w:pBd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📊 Visualization Type: </w:t>
      </w:r>
    </w:p>
    <w:p>
      <w:pPr>
        <w:spacing w:after="60" w:before="60"/>
      </w:pPr>
      <w:r>
        <w:rPr>
          <w:rFonts w:ascii="Segoe UI" w:cs="Segoe UI" w:eastAsia="Segoe UI" w:hAnsi="Segoe UI"/>
          <w:sz w:val="21"/>
          <w:szCs w:val="21"/>
        </w:rPr>
        <w:t xml:space="preserve">Matrix / Table Visual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🎯 Purpose: </w:t>
      </w:r>
    </w:p>
    <w:p>
      <w:pPr>
        <w:spacing w:after="60" w:before="60"/>
      </w:pPr>
      <w:r>
        <w:rPr>
          <w:rFonts w:ascii="Segoe UI" w:cs="Segoe UI" w:eastAsia="Segoe UI" w:hAnsi="Segoe UI"/>
          <w:sz w:val="21"/>
          <w:szCs w:val="21"/>
        </w:rPr>
        <w:t xml:space="preserve">A consolidated KPI table showing 5 critical metrics per department side-by-side. Enables quick multi-dimensional comparison and identification of underperforming departments.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⚙️ Parameters: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Rows: 6 Departments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Columns: Patients, Avg LOS, Readmit%, Occupancy,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Conditional Formatting: Color-coded status badges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Mini Data Bars: Inline bar for Readmit%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Alternating row shading for readability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📌 Related KPIs: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Total Patients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Avg Length of Stay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30-Day Readmission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Bed Occupancy Rate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sz w:val="21"/>
          <w:szCs w:val="21"/>
        </w:rPr>
        <w:br/>
        <w:t xml:space="preserve">📋 Data Table: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300"/>
        <w:gridCol w:w="1300"/>
        <w:gridCol w:w="1300"/>
        <w:gridCol w:w="1500"/>
      </w:tblGrid>
      <w:tr>
        <w:trPr>
          <w:tblHeader/>
        </w:trPr>
        <w:tc>
          <w:tcPr>
            <w:tcW w:type="dxa" w:w="18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Patients</w:t>
            </w:r>
          </w:p>
        </w:tc>
        <w:tc>
          <w:tcPr>
            <w:tcW w:type="dxa" w:w="1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Avg LOS</w:t>
            </w:r>
          </w:p>
        </w:tc>
        <w:tc>
          <w:tcPr>
            <w:tcW w:type="dxa" w:w="1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Readmit%</w:t>
            </w:r>
          </w:p>
        </w:tc>
        <w:tc>
          <w:tcPr>
            <w:tcW w:type="dxa" w:w="1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Occupancy</w:t>
            </w:r>
          </w:p>
        </w:tc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Cardiology</w:t>
            </w:r>
          </w:p>
        </w:tc>
        <w:tc>
          <w:tcPr>
            <w:tcW w:type="dxa" w:w="1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9,840</w:t>
            </w:r>
          </w:p>
        </w:tc>
        <w:tc>
          <w:tcPr>
            <w:tcW w:type="dxa" w:w="1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5.2 days</w:t>
            </w:r>
          </w:p>
        </w:tc>
        <w:tc>
          <w:tcPr>
            <w:tcW w:type="dxa" w:w="1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11.4%</w:t>
            </w:r>
          </w:p>
        </w:tc>
        <w:tc>
          <w:tcPr>
            <w:tcW w:type="dxa" w:w="1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88%</w:t>
            </w:r>
          </w:p>
        </w:tc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8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Orthopaedics</w:t>
            </w:r>
          </w:p>
        </w:tc>
        <w:tc>
          <w:tcPr>
            <w:tcW w:type="dxa" w:w="1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7,210</w:t>
            </w:r>
          </w:p>
        </w:tc>
        <w:tc>
          <w:tcPr>
            <w:tcW w:type="dxa" w:w="1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4.1 days</w:t>
            </w:r>
          </w:p>
        </w:tc>
        <w:tc>
          <w:tcPr>
            <w:tcW w:type="dxa" w:w="1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7.8%</w:t>
            </w:r>
          </w:p>
        </w:tc>
        <w:tc>
          <w:tcPr>
            <w:tcW w:type="dxa" w:w="1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76%</w:t>
            </w:r>
          </w:p>
        </w:tc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18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Neurology</w:t>
            </w:r>
          </w:p>
        </w:tc>
        <w:tc>
          <w:tcPr>
            <w:tcW w:type="dxa" w:w="1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6,540</w:t>
            </w:r>
          </w:p>
        </w:tc>
        <w:tc>
          <w:tcPr>
            <w:tcW w:type="dxa" w:w="1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5.8 days</w:t>
            </w:r>
          </w:p>
        </w:tc>
        <w:tc>
          <w:tcPr>
            <w:tcW w:type="dxa" w:w="1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10.1%</w:t>
            </w:r>
          </w:p>
        </w:tc>
        <w:tc>
          <w:tcPr>
            <w:tcW w:type="dxa" w:w="1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85%</w:t>
            </w:r>
          </w:p>
        </w:tc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Warning</w:t>
            </w:r>
          </w:p>
        </w:tc>
      </w:tr>
      <w:tr>
        <w:tc>
          <w:tcPr>
            <w:tcW w:type="dxa" w:w="18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ICU</w:t>
            </w:r>
          </w:p>
        </w:tc>
        <w:tc>
          <w:tcPr>
            <w:tcW w:type="dxa" w:w="1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3,980</w:t>
            </w:r>
          </w:p>
        </w:tc>
        <w:tc>
          <w:tcPr>
            <w:tcW w:type="dxa" w:w="1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7.4 days</w:t>
            </w:r>
          </w:p>
        </w:tc>
        <w:tc>
          <w:tcPr>
            <w:tcW w:type="dxa" w:w="1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13.6%</w:t>
            </w:r>
          </w:p>
        </w:tc>
        <w:tc>
          <w:tcPr>
            <w:tcW w:type="dxa" w:w="1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94%</w:t>
            </w:r>
          </w:p>
        </w:tc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8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Respiratory</w:t>
            </w:r>
          </w:p>
        </w:tc>
        <w:tc>
          <w:tcPr>
            <w:tcW w:type="dxa" w:w="1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5,870</w:t>
            </w:r>
          </w:p>
        </w:tc>
        <w:tc>
          <w:tcPr>
            <w:tcW w:type="dxa" w:w="1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4.6 days</w:t>
            </w:r>
          </w:p>
        </w:tc>
        <w:tc>
          <w:tcPr>
            <w:tcW w:type="dxa" w:w="1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8.9%</w:t>
            </w:r>
          </w:p>
        </w:tc>
        <w:tc>
          <w:tcPr>
            <w:tcW w:type="dxa" w:w="1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81%</w:t>
            </w:r>
          </w:p>
        </w:tc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Warning</w:t>
            </w:r>
          </w:p>
        </w:tc>
      </w:tr>
      <w:tr>
        <w:tc>
          <w:tcPr>
            <w:tcW w:type="dxa" w:w="18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OPD / General</w:t>
            </w:r>
          </w:p>
        </w:tc>
        <w:tc>
          <w:tcPr>
            <w:tcW w:type="dxa" w:w="1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14,880</w:t>
            </w:r>
          </w:p>
        </w:tc>
        <w:tc>
          <w:tcPr>
            <w:tcW w:type="dxa" w:w="1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1.2 days</w:t>
            </w:r>
          </w:p>
        </w:tc>
        <w:tc>
          <w:tcPr>
            <w:tcW w:type="dxa" w:w="1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4.2%</w:t>
            </w:r>
          </w:p>
        </w:tc>
        <w:tc>
          <w:tcPr>
            <w:tcW w:type="dxa" w:w="13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69%</w:t>
            </w:r>
          </w:p>
        </w:tc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Good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1E2025"/>
          <w:sz w:val="22"/>
          <w:szCs w:val="22"/>
        </w:rPr>
        <w:t xml:space="preserve">6. Average Wait Time by Department</w:t>
      </w:r>
    </w:p>
    <w:p>
      <w:pPr>
        <w:pBdr>
          <w:bottom w:val="single" w:color="E8B300" w:sz="8" w:space="1"/>
        </w:pBd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📊 Visualization Type: </w:t>
      </w:r>
    </w:p>
    <w:p>
      <w:pPr>
        <w:spacing w:after="60" w:before="60"/>
      </w:pPr>
      <w:r>
        <w:rPr>
          <w:rFonts w:ascii="Segoe UI" w:cs="Segoe UI" w:eastAsia="Segoe UI" w:hAnsi="Segoe UI"/>
          <w:sz w:val="21"/>
          <w:szCs w:val="21"/>
        </w:rPr>
        <w:t xml:space="preserve">Horizontal Bar Chart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🎯 Purpose: </w:t>
      </w:r>
    </w:p>
    <w:p>
      <w:pPr>
        <w:spacing w:after="60" w:before="60"/>
      </w:pPr>
      <w:r>
        <w:rPr>
          <w:rFonts w:ascii="Segoe UI" w:cs="Segoe UI" w:eastAsia="Segoe UI" w:hAnsi="Segoe UI"/>
          <w:sz w:val="21"/>
          <w:szCs w:val="21"/>
        </w:rPr>
        <w:t xml:space="preserve">To identify which departments have the longest average patient wait times. Long wait times in ICU (67 min) and Cardiology (52 min) highlight bottlenecks in triage and bed allocation processes.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⚙️ Parameters: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Axis: Horizontal (wait time in minutes)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Y-Axis: Department names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Color: Red (&gt;45 min Critical), Yellow (30–45 min Warning), Green (&lt;30 min Good)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Reference Line: 30-minute target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📌 Related KPIs: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Avg. Wait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Patient Satisfaction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Bed Occupancy Rate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sz w:val="21"/>
          <w:szCs w:val="21"/>
        </w:rPr>
        <w:br/>
        <w:t xml:space="preserve">📋 Data Table: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1500"/>
      </w:tblGrid>
      <w:tr>
        <w:trPr>
          <w:tblHeader/>
        </w:trPr>
        <w:tc>
          <w:tcPr>
            <w:tcW w:type="dxa" w:w="24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Department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Avg Wait Time (min)</w:t>
            </w:r>
          </w:p>
        </w:tc>
        <w:tc>
          <w:tcPr>
            <w:tcW w:type="dxa" w:w="16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ICU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67 min</w:t>
            </w:r>
          </w:p>
        </w:tc>
        <w:tc>
          <w:tcPr>
            <w:tcW w:type="dxa" w:w="16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30 min</w:t>
            </w:r>
          </w:p>
        </w:tc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❌ Critical</w:t>
            </w:r>
          </w:p>
        </w:tc>
      </w:tr>
      <w:tr>
        <w:tc>
          <w:tcPr>
            <w:tcW w:type="dxa" w:w="24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Cardiology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52 min</w:t>
            </w:r>
          </w:p>
        </w:tc>
        <w:tc>
          <w:tcPr>
            <w:tcW w:type="dxa" w:w="16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30 min</w:t>
            </w:r>
          </w:p>
        </w:tc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❌ Critical</w:t>
            </w:r>
          </w:p>
        </w:tc>
      </w:tr>
      <w:tr>
        <w:tc>
          <w:tcPr>
            <w:tcW w:type="dxa" w:w="24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Neurology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45 min</w:t>
            </w:r>
          </w:p>
        </w:tc>
        <w:tc>
          <w:tcPr>
            <w:tcW w:type="dxa" w:w="16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30 min</w:t>
            </w:r>
          </w:p>
        </w:tc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⚠️ Warning</w:t>
            </w:r>
          </w:p>
        </w:tc>
      </w:tr>
      <w:tr>
        <w:tc>
          <w:tcPr>
            <w:tcW w:type="dxa" w:w="24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Respiratory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38 min</w:t>
            </w:r>
          </w:p>
        </w:tc>
        <w:tc>
          <w:tcPr>
            <w:tcW w:type="dxa" w:w="16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30 min</w:t>
            </w:r>
          </w:p>
        </w:tc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⚠️ Warning</w:t>
            </w:r>
          </w:p>
        </w:tc>
      </w:tr>
      <w:tr>
        <w:tc>
          <w:tcPr>
            <w:tcW w:type="dxa" w:w="24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Orthopaedics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28 min</w:t>
            </w:r>
          </w:p>
        </w:tc>
        <w:tc>
          <w:tcPr>
            <w:tcW w:type="dxa" w:w="16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30 min</w:t>
            </w:r>
          </w:p>
        </w:tc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✅ Good</w:t>
            </w:r>
          </w:p>
        </w:tc>
      </w:tr>
      <w:tr>
        <w:tc>
          <w:tcPr>
            <w:tcW w:type="dxa" w:w="24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OPD / General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22 min</w:t>
            </w:r>
          </w:p>
        </w:tc>
        <w:tc>
          <w:tcPr>
            <w:tcW w:type="dxa" w:w="16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30 min</w:t>
            </w:r>
          </w:p>
        </w:tc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✅ Good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1E2025"/>
          <w:sz w:val="22"/>
          <w:szCs w:val="22"/>
        </w:rPr>
        <w:t xml:space="preserve">7. Patients by Age Group</w:t>
      </w:r>
    </w:p>
    <w:p>
      <w:pPr>
        <w:pBdr>
          <w:bottom w:val="single" w:color="E8B300" w:sz="8" w:space="1"/>
        </w:pBd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📊 Visualization Type: </w:t>
      </w:r>
    </w:p>
    <w:p>
      <w:pPr>
        <w:spacing w:after="60" w:before="60"/>
      </w:pPr>
      <w:r>
        <w:rPr>
          <w:rFonts w:ascii="Segoe UI" w:cs="Segoe UI" w:eastAsia="Segoe UI" w:hAnsi="Segoe UI"/>
          <w:sz w:val="21"/>
          <w:szCs w:val="21"/>
        </w:rPr>
        <w:t xml:space="preserve">Column Chart (Vertical Bar)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🎯 Purpose: </w:t>
      </w:r>
    </w:p>
    <w:p>
      <w:pPr>
        <w:spacing w:after="60" w:before="60"/>
      </w:pPr>
      <w:r>
        <w:rPr>
          <w:rFonts w:ascii="Segoe UI" w:cs="Segoe UI" w:eastAsia="Segoe UI" w:hAnsi="Segoe UI"/>
          <w:sz w:val="21"/>
          <w:szCs w:val="21"/>
        </w:rPr>
        <w:t xml:space="preserve">To understand the demographic distribution of patients across age brackets. Shows that elderly patients (60–74 years) are the largest group, enabling targeted geriatric care planning and resource allocation.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⚙️ Parameters: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X-Axis: Age groups (0–14, 15–29, 30–44, 45–59, 60–74, 75+)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Y-Axis: Patient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Color: Each age group distinct color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Tooltip: Count + % of total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📌 Related KPIs: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Total Patients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Avg Length of Stay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Bed Occupancy Rate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sz w:val="21"/>
          <w:szCs w:val="21"/>
        </w:rPr>
        <w:br/>
        <w:t xml:space="preserve">📋 Data Table: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</w:tblGrid>
      <w:tr>
        <w:trPr>
          <w:tblHeader/>
        </w:trP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Age Group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Patient Count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% of Total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0–14 years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4,200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8.7%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15–29 years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6,800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14.1%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30–44 years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9,400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19.4%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45–59 years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12,600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26.1%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60–74 years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10,300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21.3%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75+ years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5,020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10.4%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1E2025"/>
          <w:sz w:val="22"/>
          <w:szCs w:val="22"/>
        </w:rPr>
        <w:t xml:space="preserve">8. Revenue vs Cost (Monthly)</w:t>
      </w:r>
    </w:p>
    <w:p>
      <w:pPr>
        <w:pBdr>
          <w:bottom w:val="single" w:color="E8B300" w:sz="8" w:space="1"/>
        </w:pBd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📊 Visualization Type: </w:t>
      </w:r>
    </w:p>
    <w:p>
      <w:pPr>
        <w:spacing w:after="60" w:before="60"/>
      </w:pPr>
      <w:r>
        <w:rPr>
          <w:rFonts w:ascii="Segoe UI" w:cs="Segoe UI" w:eastAsia="Segoe UI" w:hAnsi="Segoe UI"/>
          <w:sz w:val="21"/>
          <w:szCs w:val="21"/>
        </w:rPr>
        <w:t xml:space="preserve">Area Chart (Dual-Series)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🎯 Purpose: </w:t>
      </w:r>
    </w:p>
    <w:p>
      <w:pPr>
        <w:spacing w:after="60" w:before="60"/>
      </w:pPr>
      <w:r>
        <w:rPr>
          <w:rFonts w:ascii="Segoe UI" w:cs="Segoe UI" w:eastAsia="Segoe UI" w:hAnsi="Segoe UI"/>
          <w:sz w:val="21"/>
          <w:szCs w:val="21"/>
        </w:rPr>
        <w:t xml:space="preserve">To track the financial performance of the hospital by comparing monthly revenue against operational cost. Reveals the profit margin trend and identifies months of financial stress.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⚙️ Parameters: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X-Axis: Months (Jan–Dec 2024)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Y-Axis: Amount in ₹ Lakhs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Series 1: Revenue (Blue filled area)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Series 2: Cost (Orange filled area)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Fill Opacity: 40% for visual layering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Gap between lines = Profit Margin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📌 Related KPIs: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Revenue per Patient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Cost per Patient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sz w:val="21"/>
          <w:szCs w:val="21"/>
        </w:rPr>
        <w:br/>
        <w:t xml:space="preserve">📋 Data Table: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2000"/>
      </w:tblGrid>
      <w:tr>
        <w:trPr>
          <w:tblHeader/>
        </w:trPr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Revenue (₹ Lakhs)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Cost (₹ Lakhs)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Profit (₹ Lakhs)</w:t>
            </w:r>
          </w:p>
        </w:tc>
      </w:tr>
      <w:tr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Jan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420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310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110</w:t>
            </w:r>
          </w:p>
        </w:tc>
      </w:tr>
      <w:tr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Feb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390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295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95</w:t>
            </w:r>
          </w:p>
        </w:tc>
      </w:tr>
      <w:tr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Mar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460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340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120</w:t>
            </w:r>
          </w:p>
        </w:tc>
      </w:tr>
      <w:tr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Apr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445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330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115</w:t>
            </w:r>
          </w:p>
        </w:tc>
      </w:tr>
      <w:tr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May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480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355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125</w:t>
            </w:r>
          </w:p>
        </w:tc>
      </w:tr>
      <w:tr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Jun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510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380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130</w:t>
            </w:r>
          </w:p>
        </w:tc>
      </w:tr>
      <w:tr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Jul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490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360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130</w:t>
            </w:r>
          </w:p>
        </w:tc>
      </w:tr>
      <w:tr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Aug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520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385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135</w:t>
            </w:r>
          </w:p>
        </w:tc>
      </w:tr>
      <w:tr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Sep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540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140</w:t>
            </w:r>
          </w:p>
        </w:tc>
      </w:tr>
      <w:tr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Oct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500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375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125</w:t>
            </w:r>
          </w:p>
        </w:tc>
      </w:tr>
      <w:tr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Nov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470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350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120</w:t>
            </w:r>
          </w:p>
        </w:tc>
      </w:tr>
      <w:tr>
        <w:tc>
          <w:tcPr>
            <w:tcW w:type="dxa" w:w="1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Dec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440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330</w:t>
            </w:r>
          </w:p>
        </w:tc>
        <w:tc>
          <w:tcPr>
            <w:tcW w:type="dxa" w:w="20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110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1E2025"/>
          <w:sz w:val="22"/>
          <w:szCs w:val="22"/>
        </w:rPr>
        <w:t xml:space="preserve">9. Readmission Rate Trend</w:t>
      </w:r>
    </w:p>
    <w:p>
      <w:pPr>
        <w:pBdr>
          <w:bottom w:val="single" w:color="E8B300" w:sz="8" w:space="1"/>
        </w:pBd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📊 Visualization Type: </w:t>
      </w:r>
    </w:p>
    <w:p>
      <w:pPr>
        <w:spacing w:after="60" w:before="60"/>
      </w:pPr>
      <w:r>
        <w:rPr>
          <w:rFonts w:ascii="Segoe UI" w:cs="Segoe UI" w:eastAsia="Segoe UI" w:hAnsi="Segoe UI"/>
          <w:sz w:val="21"/>
          <w:szCs w:val="21"/>
        </w:rPr>
        <w:t xml:space="preserve">Line Chart with Target Reference Line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🎯 Purpose: </w:t>
      </w:r>
    </w:p>
    <w:p>
      <w:pPr>
        <w:spacing w:after="60" w:before="60"/>
      </w:pPr>
      <w:r>
        <w:rPr>
          <w:rFonts w:ascii="Segoe UI" w:cs="Segoe UI" w:eastAsia="Segoe UI" w:hAnsi="Segoe UI"/>
          <w:sz w:val="21"/>
          <w:szCs w:val="21"/>
        </w:rPr>
        <w:t xml:space="preserve">To monitor the 30-day readmission rate on a monthly basis against the 8% target. Shows a slow but inconsistent declining trend, highlighting the need for stronger discharge planning and patient follow-up systems.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⚙️ Parameters: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X-Axis: Months (Jan–Dec 2024)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Y-Axis: Readmission % (6–13%)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Line 1: Actual Rate (Red, filled area)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Line 2: Target 8% (Green, dashed)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Point Markers: Visible on each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Shaded area above target = Problem zone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📌 Related KPIs: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30-Day Readmission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Patient Satisfaction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1"/>
          <w:szCs w:val="21"/>
        </w:rPr>
        <w:t xml:space="preserve">Treatment Recovery Rate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sz w:val="21"/>
          <w:szCs w:val="21"/>
        </w:rPr>
        <w:br/>
        <w:t xml:space="preserve">📋 Data Table: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</w:tblGrid>
      <w:tr>
        <w:trPr>
          <w:tblHeader/>
        </w:trP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Readmission Rate (%)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Target (%)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Jan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10.8%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8%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Feb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10.2%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8%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Mar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9.9%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8%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Apr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9.6%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8%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May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9.4%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8%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Jun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9.8%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8%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Jul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9.1%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8%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Aug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9.3%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8%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Sep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8.8%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8%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Oct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9.0%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8%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Nov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8.7%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8%</w:t>
            </w:r>
          </w:p>
        </w:tc>
      </w:tr>
      <w:tr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Dec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9.2%</w:t>
            </w:r>
          </w:p>
        </w:tc>
        <w:tc>
          <w:tcPr>
            <w:tcW w:type="dxa" w:w="25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8%</w:t>
            </w:r>
          </w:p>
        </w:tc>
      </w:tr>
    </w:tbl>
    <w:p>
      <w:pPr>
        <w:spacing w:before="200"/>
      </w:pPr>
      <w:r>
        <w:t xml:space="preserve"/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Segoe UI" w:cs="Segoe UI" w:eastAsia="Segoe UI" w:hAnsi="Segoe UI"/>
          <w:b/>
          <w:bCs/>
          <w:color w:val="0078D4"/>
          <w:sz w:val="28"/>
          <w:szCs w:val="28"/>
        </w:rPr>
        <w:t xml:space="preserve">Summary &amp; Recommendations</w:t>
      </w:r>
    </w:p>
    <w:p>
      <w:pPr>
        <w:pBdr>
          <w:bottom w:val="single" w:color="0078D4" w:sz="8" w:space="1"/>
        </w:pBdr>
        <w:spacing w:after="80" w:before="80"/>
      </w:pPr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4960"/>
      </w:tblGrid>
      <w:tr>
        <w:trPr>
          <w:tblHeader/>
        </w:trPr>
        <w:tc>
          <w:tcPr>
            <w:tcW w:type="dxa" w:w="4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496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4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ICU at 94% bed occupancy</w:t>
            </w:r>
          </w:p>
        </w:tc>
        <w:tc>
          <w:tcPr>
            <w:tcW w:type="dxa" w:w="496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Add 10–15 ICU beds or create ICU overflow protocol</w:t>
            </w:r>
          </w:p>
        </w:tc>
      </w:tr>
      <w:tr>
        <w:tc>
          <w:tcPr>
            <w:tcW w:type="dxa" w:w="4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Readmission rate 9.2% vs target 8%</w:t>
            </w:r>
          </w:p>
        </w:tc>
        <w:tc>
          <w:tcPr>
            <w:tcW w:type="dxa" w:w="496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Implement 7-day follow-up call system post-discharge</w:t>
            </w:r>
          </w:p>
        </w:tc>
      </w:tr>
      <w:tr>
        <w:tc>
          <w:tcPr>
            <w:tcW w:type="dxa" w:w="4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ICU wait time 67 minutes</w:t>
            </w:r>
          </w:p>
        </w:tc>
        <w:tc>
          <w:tcPr>
            <w:tcW w:type="dxa" w:w="496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Fast-track triage system and dedicated ICU liaison officer</w:t>
            </w:r>
          </w:p>
        </w:tc>
      </w:tr>
      <w:tr>
        <w:tc>
          <w:tcPr>
            <w:tcW w:type="dxa" w:w="4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Neurology LOS 5.8 days</w:t>
            </w:r>
          </w:p>
        </w:tc>
        <w:tc>
          <w:tcPr>
            <w:tcW w:type="dxa" w:w="496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Introduce clinical pathway protocols for neurological cases</w:t>
            </w:r>
          </w:p>
        </w:tc>
      </w:tr>
      <w:tr>
        <w:tc>
          <w:tcPr>
            <w:tcW w:type="dxa" w:w="4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Elderly patients (60–74) 21.3% of load</w:t>
            </w:r>
          </w:p>
        </w:tc>
        <w:tc>
          <w:tcPr>
            <w:tcW w:type="dxa" w:w="496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Launch geriatric care unit and chronic disease management</w:t>
            </w:r>
          </w:p>
        </w:tc>
      </w:tr>
      <w:tr>
        <w:tc>
          <w:tcPr>
            <w:tcW w:type="dxa" w:w="4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Cost growth approaching revenue</w:t>
            </w:r>
          </w:p>
        </w:tc>
        <w:tc>
          <w:tcPr>
            <w:tcW w:type="dxa" w:w="4960"/>
            <w:tcBorders>
              <w:top w:val="single" w:color="C8C6C4" w:sz="1"/>
              <w:left w:val="single" w:color="C8C6C4" w:sz="1"/>
              <w:bottom w:val="single" w:color="C8C6C4" w:sz="1"/>
              <w:right w:val="single" w:color="C8C6C4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Review procurement costs and reduce non-clinical overheads</w:t>
            </w:r>
          </w:p>
        </w:tc>
      </w:tr>
    </w:tbl>
    <w:p>
      <w:pPr>
        <w:spacing w:after="100" w:before="300"/>
        <w:jc w:val="center"/>
      </w:pPr>
      <w:r>
        <w:rPr>
          <w:rFonts w:ascii="Segoe UI" w:cs="Segoe UI" w:eastAsia="Segoe UI" w:hAnsi="Segoe UI"/>
          <w:color w:val="8A8886"/>
          <w:sz w:val="20"/>
          <w:szCs w:val="20"/>
        </w:rPr>
        <w:t xml:space="preserve">— End of Report —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8D4" w:sz="6" w:space="1"/>
      </w:pBdr>
    </w:pPr>
    <w:r>
      <w:rPr>
        <w:rFonts w:ascii="Segoe UI" w:cs="Segoe UI" w:eastAsia="Segoe UI" w:hAnsi="Segoe UI"/>
        <w:color w:val="605E5C"/>
        <w:sz w:val="18"/>
        <w:szCs w:val="18"/>
      </w:rPr>
      <w:t xml:space="preserve">🏥 Healthcare Analytics Dashboard — Report</w:t>
    </w:r>
    <w:r>
      <w:rPr>
        <w:rFonts w:ascii="Segoe UI" w:cs="Segoe UI" w:eastAsia="Segoe UI" w:hAnsi="Segoe UI"/>
        <w:b/>
        <w:bCs/>
        <w:color w:val="0078D4"/>
        <w:sz w:val="18"/>
        <w:szCs w:val="18"/>
      </w:rPr>
      <w:t xml:space="preserve">         FY 2024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Segoe UI" w:cs="Segoe UI" w:eastAsia="Segoe UI" w:hAnsi="Segoe UI"/>
      <w:b/>
      <w:bCs/>
      <w:color w:val="0078D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Segoe UI" w:cs="Segoe UI" w:eastAsia="Segoe UI" w:hAnsi="Segoe UI"/>
      <w:b/>
      <w:bCs/>
      <w:color w:val="1E20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2026-05-08T05:27:42.114Z</dcterms:created>
  <dcterms:modified xsi:type="dcterms:W3CDTF">2026-05-08T05:27:42.115Z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