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4.jpg" ContentType="image/jpeg"/>
  <Override PartName="/word/media/rId44.jpg" ContentType="image/jpeg"/>
  <Override PartName="/word/media/rId48.jpg" ContentType="image/jpeg"/>
  <Override PartName="/word/media/rId49.jpg" ContentType="image/jpeg"/>
  <Override PartName="/word/media/rId50.jpg" ContentType="image/jpeg"/>
  <Override PartName="/word/media/rId51.jpg" ContentType="image/jpeg"/>
  <Override PartName="/word/media/rId5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to-do"/>
      <w:r>
        <w:t xml:space="preserve">TO DO</w:t>
      </w:r>
      <w:bookmarkEnd w:id="20"/>
    </w:p>
    <w:p>
      <w:pPr>
        <w:pStyle w:val="FirstParagraph"/>
      </w:pPr>
      <w:r>
        <w:t xml:space="preserve">-table s2, sample sizes</w:t>
      </w:r>
      <w:r>
        <w:t xml:space="preserve"> </w:t>
      </w:r>
      <w:r>
        <w:t xml:space="preserve">-reformat table s3</w:t>
      </w:r>
      <w:r>
        <w:t xml:space="preserve"> </w:t>
      </w:r>
      <w:r>
        <w:t xml:space="preserve">-add semilandmarks to figure S2</w:t>
      </w:r>
      <w:r>
        <w:t xml:space="preserve"> </w:t>
      </w:r>
      <w:r>
        <w:t xml:space="preserve">-Should i do a geomorph analysis here and then pair it with curvature data?</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w:t>
      </w:r>
    </w:p>
    <w:p>
      <w:pPr>
        <w:pStyle w:val="Heading4"/>
      </w:pPr>
      <w:bookmarkStart w:id="22" w:name="abstract"/>
      <w:r>
        <w:t xml:space="preserve">Abstract</w:t>
      </w:r>
      <w:bookmarkEnd w:id="22"/>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This is to say that</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the existing mathematical lexicon for studying line-curves.</w:t>
      </w:r>
    </w:p>
    <w:p>
      <w:pPr>
        <w:pStyle w:val="BodyText"/>
      </w:pPr>
      <w:r>
        <w:t xml:space="preserve"> </w:t>
      </w:r>
    </w:p>
    <w:p>
      <w:pPr>
        <w:pStyle w:val="Heading4"/>
      </w:pPr>
      <w:bookmarkStart w:id="23" w:name="Xd9574ba9fc8b8c8a16a91b089379ae145e5e489"/>
      <w:r>
        <w:t xml:space="preserve">1. The ecology of flower-pollinator curvature</w:t>
      </w:r>
      <w:bookmarkEnd w:id="23"/>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Patterns of plant-pollinator evolution point to both contemporaneous and asymmetrical diversification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In either case, floral morphology is a key phenotype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-Curvature and niche partitioning:</w:t>
      </w:r>
      <w:r>
        <w:t xml:space="preserve"> </w:t>
      </w:r>
      <w:r>
        <w:t xml:space="preserve">-evidence that curvature is correlated with a shift from insectivory to nectivory in hawaiin honeycreepers</w:t>
      </w:r>
      <w:r>
        <w:t xml:space="preserve"> </w:t>
      </w:r>
      <w:r>
        <w:t xml:space="preserve">(Carothers,</w:t>
      </w:r>
      <w:r>
        <w:t xml:space="preserve"> </w:t>
      </w:r>
      <w:hyperlink w:anchor="ref-carothers_1982">
        <w:r>
          <w:rPr>
            <w:rStyle w:val="Hyperlink"/>
          </w:rPr>
          <w:t xml:space="preserve">1982</w:t>
        </w:r>
      </w:hyperlink>
      <w:r>
        <w:t xml:space="preserve">)</w:t>
      </w:r>
      <w:r>
        <w:t xml:space="preserve">.</w:t>
      </w:r>
      <w:r>
        <w:t xml:space="preserve"> </w:t>
      </w:r>
      <w:r>
        <w:t xml:space="preserve">-honeyeaters take longer to feed and intake less nectar on experimentally curved flowers</w:t>
      </w:r>
      <w:r>
        <w:t xml:space="preserve"> </w:t>
      </w:r>
      <w:r>
        <w:t xml:space="preserve">(Collins,</w:t>
      </w:r>
      <w:r>
        <w:t xml:space="preserve"> </w:t>
      </w:r>
      <w:hyperlink w:anchor="ref-collins_2008">
        <w:r>
          <w:rPr>
            <w:rStyle w:val="Hyperlink"/>
          </w:rPr>
          <w:t xml:space="preserve">2008</w:t>
        </w:r>
      </w:hyperlink>
      <w:r>
        <w:t xml:space="preserve">)</w:t>
      </w:r>
      <w:r>
        <w:t xml:space="preserve"> </w:t>
      </w:r>
      <w:r>
        <w:t xml:space="preserve">-aussie honeyeaters with curved bills tend to be small nectivores and aerial insectivores rather than stout-billed ground foragers.</w:t>
      </w:r>
      <w:r>
        <w:t xml:space="preserve"> </w:t>
      </w:r>
      <w:r>
        <w:t xml:space="preserve">-see: wolf 1972 (Science), 1975 (Ecology)</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BodyText"/>
      </w:pPr>
      <w:r>
        <w:t xml:space="preserve"> </w:t>
      </w:r>
    </w:p>
    <w:p>
      <w:pPr>
        <w:pStyle w:val="Heading4"/>
      </w:pPr>
      <w:bookmarkStart w:id="24" w:name="Xf9e8bcf7a923adc44091abaab2e81d903f2bec5"/>
      <w:r>
        <w:t xml:space="preserve">2. Summary of the literature: How we think about curvature</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44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lateral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5">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 Sixth, geometric morphometrics, which quantifies shape as a configuration of homologous points (landmarks) existing on a coordinate plane (</w:t>
      </w:r>
      <w:hyperlink r:id="rId27">
        <w:r>
          <w:rPr>
            <w:rStyle w:val="Hyperlink"/>
          </w:rPr>
          <w:t xml:space="preserve">Figure 2</w:t>
        </w:r>
      </w:hyperlink>
      <w:r>
        <w:t xml:space="preserve">).</w:t>
      </w:r>
    </w:p>
    <w:p>
      <w:pPr>
        <w:pStyle w:val="BodyText"/>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 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highlight some of the broad concepts in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r>
        <w:t xml:space="preserve"> </w:t>
      </w:r>
    </w:p>
    <w:p>
      <w:pPr>
        <w:pStyle w:val="Heading4"/>
      </w:pPr>
      <w:bookmarkStart w:id="30" w:name="what-is-curvature"/>
      <w:r>
        <w:t xml:space="preserve">3. What is curvature?</w:t>
      </w:r>
      <w:bookmarkEnd w:id="30"/>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31">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1">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2">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3">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4"/>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pPr>
        <w:pStyle w:val="BodyText"/>
      </w:pPr>
      <w:r>
        <w:t xml:space="preserve"> </w:t>
      </w:r>
    </w:p>
    <w:p>
      <w:pPr>
        <w:pStyle w:val="Heading4"/>
      </w:pPr>
      <w:bookmarkStart w:id="35" w:name="X4c9b8b8142f99b54ba92ec3dabe5c3262370a08"/>
      <w:r>
        <w:t xml:space="preserve">4. A proposed protocol for measuring curvature</w:t>
      </w:r>
      <w:bookmarkEnd w:id="35"/>
    </w:p>
    <w:p>
      <w:pPr>
        <w:pStyle w:val="FirstParagraph"/>
      </w:pPr>
      <w:r>
        <w:t xml:space="preserve">From reading the</w:t>
      </w:r>
      <w:r>
        <w:t xml:space="preserve"> </w:t>
      </w:r>
      <w:r>
        <w:t xml:space="preserve">‘</w:t>
      </w:r>
      <w:r>
        <w:t xml:space="preserve">outline morphometrics</w:t>
      </w:r>
      <w:r>
        <w:t xml:space="preserve">’</w:t>
      </w:r>
      <w:r>
        <w:t xml:space="preserve"> </w:t>
      </w:r>
      <w:r>
        <w:t xml:space="preserve">section of Adams et al 2004, it sounds like eigenshape analysis might be worth commenting on. In eigenshape analysis, you take the direction of the tangent at many points along the curve and reconstruct the specimen’s shape that way..sounds very similar. Question: can curvature be computed from an eigenshape analysis?</w:t>
      </w:r>
    </w:p>
    <w:p>
      <w:pPr>
        <w:pStyle w:val="BodyText"/>
      </w:pPr>
      <w:r>
        <w:t xml:space="preserve">Bookstein 1978 (pg 29 of ch 4)</w:t>
      </w:r>
      <w:r>
        <w:t xml:space="preserve"> </w:t>
      </w:r>
      <w:hyperlink r:id="rId36">
        <w:r>
          <w:rPr>
            <w:rStyle w:val="Hyperlink"/>
          </w:rPr>
          <w:t xml:space="preserve">https://link-springer-com.ezproxy.library.ubc.ca/content/pdf/10.1007%2F978-3-642-93093-5_4.pdf</w:t>
        </w:r>
      </w:hyperlink>
      <w:r>
        <w:t xml:space="preserve"> </w:t>
      </w:r>
      <w:r>
        <w:t xml:space="preserve">-curvature extrema have long been recognized as important features in shape recognition, both for humans</w:t>
      </w:r>
      <w:r>
        <w:t xml:space="preserve"> </w:t>
      </w:r>
      <w:r>
        <w:t xml:space="preserve">(Attneave and Arnoult,</w:t>
      </w:r>
      <w:r>
        <w:t xml:space="preserve"> </w:t>
      </w:r>
      <w:hyperlink w:anchor="ref-attneave_1956">
        <w:r>
          <w:rPr>
            <w:rStyle w:val="Hyperlink"/>
          </w:rPr>
          <w:t xml:space="preserve">1956</w:t>
        </w:r>
      </w:hyperlink>
      <w:r>
        <w:t xml:space="preserve">)</w:t>
      </w:r>
      <w:r>
        <w:t xml:space="preserve"> </w:t>
      </w:r>
      <w:r>
        <w:t xml:space="preserve">and computers</w:t>
      </w:r>
      <w:r>
        <w:t xml:space="preserve"> </w:t>
      </w:r>
      <w:r>
        <w:t xml:space="preserve">(Asada and Brady,</w:t>
      </w:r>
      <w:r>
        <w:t xml:space="preserve"> </w:t>
      </w:r>
      <w:hyperlink w:anchor="ref-asada_1986">
        <w:r>
          <w:rPr>
            <w:rStyle w:val="Hyperlink"/>
          </w:rPr>
          <w:t xml:space="preserve">1986</w:t>
        </w:r>
      </w:hyperlink>
      <w:r>
        <w:t xml:space="preserve">)</w:t>
      </w:r>
      <w:r>
        <w:t xml:space="preserve">.</w:t>
      </w:r>
    </w:p>
    <w:p>
      <w:pPr>
        <w:pStyle w:val="BodyText"/>
      </w:pPr>
      <w:r>
        <w:t xml:space="preserve">Claude (Morphometrics for R) pg 219 - Fourier functions in R</w:t>
      </w:r>
      <w:r>
        <w:t xml:space="preserve"> </w:t>
      </w:r>
      <w:hyperlink r:id="rId37">
        <w:r>
          <w:rPr>
            <w:rStyle w:val="Hyperlink"/>
          </w:rPr>
          <w:t xml:space="preserve">https://ebookcentral.proquest.com/lib/ubc/reader.action?docID=417711</w:t>
        </w:r>
      </w:hyperlink>
    </w:p>
    <w:p>
      <w:pPr>
        <w:pStyle w:val="BodyText"/>
      </w:pPr>
      <w:r>
        <w:t xml:space="preserve">Lohmann 1983</w:t>
      </w:r>
      <w:r>
        <w:t xml:space="preserve"> </w:t>
      </w:r>
      <w:hyperlink r:id="rId38">
        <w:r>
          <w:rPr>
            <w:rStyle w:val="Hyperlink"/>
          </w:rPr>
          <w:t xml:space="preserve">https://link-springer-com.ezproxy.library.ubc.ca/content/pdf/10.1007%2FBF01033230.pdf</w:t>
        </w:r>
      </w:hyperlink>
    </w:p>
    <w:p>
      <w:pPr>
        <w:pStyle w:val="BodyText"/>
      </w:pPr>
      <w:r>
        <w:t xml:space="preserve">Rohlf and Archie 1984</w:t>
      </w:r>
      <w:r>
        <w:t xml:space="preserve"> </w:t>
      </w:r>
      <w:hyperlink r:id="rId39">
        <w:r>
          <w:rPr>
            <w:rStyle w:val="Hyperlink"/>
          </w:rPr>
          <w:t xml:space="preserve">https://www-jstor-org.ezproxy.library.ubc.ca/stable/pdf/2413076.pdf?refreqid=excelsior%3A17429d1175df70917de4fdf8cd7b38a1</w:t>
        </w:r>
      </w:hyperlink>
    </w:p>
    <w:p>
      <w:pPr>
        <w:pStyle w:val="BodyText"/>
      </w:pPr>
      <w:r>
        <w:t xml:space="preserve">Rohlf 1986</w:t>
      </w:r>
      <w:r>
        <w:t xml:space="preserve"> </w:t>
      </w:r>
      <w:r>
        <w:t xml:space="preserve">In Folder</w:t>
      </w:r>
    </w:p>
    <w:p>
      <w:pPr>
        <w:pStyle w:val="BodyText"/>
      </w:pPr>
      <w:r>
        <w:t xml:space="preserve">Bookstein and Green 1993</w:t>
      </w:r>
      <w:r>
        <w:t xml:space="preserve"> </w:t>
      </w:r>
      <w:hyperlink r:id="rId40">
        <w:r>
          <w:rPr>
            <w:rStyle w:val="Hyperlink"/>
          </w:rPr>
          <w:t xml:space="preserve">https://link-springer-com.ezproxy.library.ubc.ca/article/10.1007%2FBF01248355</w:t>
        </w:r>
      </w:hyperlink>
    </w:p>
    <w:p>
      <w:pPr>
        <w:pStyle w:val="BodyText"/>
      </w:pPr>
      <w:r>
        <w:t xml:space="preserve">Macleod and Rose 1993</w:t>
      </w:r>
      <w:r>
        <w:t xml:space="preserve"> </w:t>
      </w:r>
      <w:hyperlink r:id="rId41">
        <w:r>
          <w:rPr>
            <w:rStyle w:val="Hyperlink"/>
          </w:rPr>
          <w:t xml:space="preserve">http://earth.geology.yale.edu/~ajs/1993/11.1993.11Macleod.pdf</w:t>
        </w:r>
      </w:hyperlink>
    </w:p>
    <w:p>
      <w:pPr>
        <w:pStyle w:val="BodyText"/>
      </w:pPr>
      <w:r>
        <w:t xml:space="preserve">Adams et al 2004</w:t>
      </w:r>
      <w:r>
        <w:t xml:space="preserve"> </w:t>
      </w:r>
      <w:hyperlink r:id="rId42">
        <w:r>
          <w:rPr>
            <w:rStyle w:val="Hyperlink"/>
          </w:rPr>
          <w:t xml:space="preserve">https://www.tandfonline.com/doi/abs/10.1080/11250000409356545</w:t>
        </w:r>
      </w:hyperlink>
    </w:p>
    <w:p>
      <w:pPr>
        <w:pStyle w:val="BodyText"/>
      </w:pPr>
      <w:r>
        <w:t xml:space="preserve">What is eigenshape analysis?</w:t>
      </w:r>
    </w:p>
    <w:p>
      <w:pPr>
        <w:pStyle w:val="BodyText"/>
      </w:pPr>
      <w:r>
        <w:t xml:space="preserve">From Lohmann 1983:</w:t>
      </w:r>
      <w:r>
        <w:t xml:space="preserve"> </w:t>
      </w:r>
      <w:r>
        <w:t xml:space="preserve">1. Landmark shape</w:t>
      </w:r>
      <w:r>
        <w:t xml:space="preserve"> </w:t>
      </w:r>
      <w:r>
        <w:t xml:space="preserve">2. Represent shape with Zahn and Roskies shape function</w:t>
      </w:r>
      <w:r>
        <w:t xml:space="preserve"> </w:t>
      </w:r>
      <m:oMath>
        <m:sSup>
          <m:e>
            <m:r>
              <m:t>ϕ</m:t>
            </m:r>
          </m:e>
          <m:sup>
            <m:r>
              <m:t>*</m:t>
            </m:r>
          </m:sup>
        </m:sSup>
        <m:r>
          <m:t>(</m:t>
        </m:r>
        <m:r>
          <m:t>l</m:t>
        </m:r>
        <m:r>
          <m:t>)</m:t>
        </m:r>
      </m:oMath>
      <w:r>
        <w:t xml:space="preserve">, the "normalized net anglular change in direction</w:t>
      </w:r>
      <w:r>
        <w:t xml:space="preserve"> </w:t>
      </w:r>
      <m:oMath>
        <m:r>
          <m:t>ϕ</m:t>
        </m:r>
      </m:oMath>
      <w:r>
        <w:t xml:space="preserve"> </w:t>
      </w:r>
      <w:r>
        <w:t xml:space="preserve">around the perimeter,</w:t>
      </w:r>
      <w:r>
        <w:t xml:space="preserve"> </w:t>
      </w:r>
      <m:oMath>
        <m:r>
          <m:t>l</m:t>
        </m:r>
      </m:oMath>
      <w:r>
        <w:t xml:space="preserve">, of the shape. NOTE: here,</w:t>
      </w:r>
      <w:r>
        <w:t xml:space="preserve"> </w:t>
      </w:r>
      <m:oMath>
        <m:r>
          <m:t>l</m:t>
        </m:r>
      </m:oMath>
      <w:r>
        <w:t xml:space="preserve"> </w:t>
      </w:r>
      <w:r>
        <w:t xml:space="preserve">is like arc length, and the shape function is like my arc-length parameterized vector function</w:t>
      </w:r>
      <w:r>
        <w:t xml:space="preserve"> </w:t>
      </w:r>
      <m:oMath>
        <m:r>
          <m:rPr>
            <m:sty m:val="b"/>
          </m:rPr>
          <m:t>r</m:t>
        </m:r>
        <m:r>
          <m:t>(</m:t>
        </m:r>
        <m:r>
          <m:t>s</m:t>
        </m:r>
        <m:r>
          <m:t>)</m:t>
        </m:r>
      </m:oMath>
      <w:r>
        <w:t xml:space="preserve">.</w:t>
      </w:r>
    </w:p>
    <w:p>
      <w:pPr>
        <w:pStyle w:val="BodyText"/>
      </w:pPr>
      <w:r>
        <w:t xml:space="preserve">The</w:t>
      </w:r>
      <w:r>
        <w:t xml:space="preserve"> </w:t>
      </w:r>
      <w:r>
        <w:t xml:space="preserve">‘</w:t>
      </w:r>
      <w:r>
        <w:t xml:space="preserve">normalized</w:t>
      </w:r>
      <w:r>
        <w:t xml:space="preserve">’</w:t>
      </w:r>
      <w:r>
        <w:t xml:space="preserve"> </w:t>
      </w:r>
      <w:r>
        <w:t xml:space="preserve">shape function is the original shape function</w:t>
      </w:r>
      <w:r>
        <w:t xml:space="preserve"> </w:t>
      </w:r>
      <m:oMath>
        <m:r>
          <m:t>ϕ</m:t>
        </m:r>
        <m:r>
          <m:t>(</m:t>
        </m:r>
        <m:r>
          <m:t>l</m:t>
        </m:r>
        <m:r>
          <m:t>)</m:t>
        </m:r>
      </m:oMath>
      <w:r>
        <w:t xml:space="preserve"> </w:t>
      </w:r>
      <w:r>
        <w:t xml:space="preserve">but with size removed. NOTE: is this similar to my</w:t>
      </w:r>
      <w:r>
        <w:t xml:space="preserve"> </w:t>
      </w:r>
      <w:r>
        <w:t xml:space="preserve">“</w:t>
      </w:r>
      <w:r>
        <w:t xml:space="preserve">adjusted curvature</w:t>
      </w:r>
      <w:r>
        <w:t xml:space="preserve">”</w:t>
      </w:r>
      <w:r>
        <w:t xml:space="preserve">?</w:t>
      </w:r>
    </w:p>
    <w:p>
      <w:pPr>
        <w:pStyle w:val="BodyText"/>
      </w:pPr>
      <w:r>
        <w:t xml:space="preserve">The Zahn and Roskies shape function is similar to Bookstein’s (1978) tangent angle function.</w:t>
      </w:r>
    </w:p>
    <w:p>
      <w:pPr>
        <w:pStyle w:val="BodyText"/>
      </w:pPr>
      <w:r>
        <w:t xml:space="preserve">Can curvature information be extracted from a fourier series?</w:t>
      </w:r>
    </w:p>
    <w:p>
      <w:pPr>
        <w:pStyle w:val="BodyText"/>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4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exisiting morphometric tools for landmarking and curve-fitting - these were developed in the</w:t>
      </w:r>
      <w:r>
        <w:t xml:space="preserve"> </w:t>
      </w:r>
      <w:r>
        <w:t xml:space="preserve">‘</w:t>
      </w:r>
      <w:r>
        <w:t xml:space="preserve">traditional morphometrics</w:t>
      </w:r>
      <w:r>
        <w:t xml:space="preserve">’</w:t>
      </w:r>
      <w:r>
        <w:t xml:space="preserve"> </w:t>
      </w:r>
      <w:r>
        <w:t xml:space="preserve">literature (e.g. </w:t>
      </w:r>
      <w:r>
        <w:t xml:space="preserve">(Rolhf,</w:t>
      </w:r>
      <w:r>
        <w:t xml:space="preserve"> </w:t>
      </w:r>
      <w:hyperlink w:anchor="ref-rohlf_1990">
        <w:r>
          <w:rPr>
            <w:rStyle w:val="Hyperlink"/>
          </w:rPr>
          <w:t xml:space="preserve">1990</w:t>
        </w:r>
      </w:hyperlink>
      <w:r>
        <w:t xml:space="preserve">;</w:t>
      </w:r>
      <w:r>
        <w:t xml:space="preserve"> </w:t>
      </w:r>
      <w:r>
        <w:rPr>
          <w:b/>
        </w:rPr>
        <w:t xml:space="preserve">???</w:t>
      </w:r>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However, we propose to develop the analysis of curvature specifically within the R programming environment</w:t>
      </w:r>
      <w:r>
        <w:t xml:space="preserve"> </w:t>
      </w:r>
      <w:r>
        <w:t xml:space="preserve">(</w:t>
      </w:r>
      <w:r>
        <w:rPr>
          <w:b/>
        </w:rPr>
        <w:t xml:space="preserve">???</w:t>
      </w:r>
      <w:r>
        <w:t xml:space="preserve">)</w:t>
      </w:r>
      <w:r>
        <w:t xml:space="preserve">, where existing landmarking and curve-fitting procedures can be called, and where modern morphometrics is being most actively developed (e.g. within the packages</w:t>
      </w:r>
      <w:r>
        <w:t xml:space="preserve"> </w:t>
      </w:r>
      <w:r>
        <w:rPr>
          <w:rStyle w:val="VerbatimChar"/>
        </w:rPr>
        <w:t xml:space="preserve">geomorph</w:t>
      </w:r>
      <w:r>
        <w:t xml:space="preserve"> </w:t>
      </w:r>
      <w:r>
        <w:t xml:space="preserve">(Adams et al.,</w:t>
      </w:r>
      <w:r>
        <w:t xml:space="preserve"> </w:t>
      </w:r>
      <w:hyperlink w:anchor="ref-geomorph_2019">
        <w:r>
          <w:rPr>
            <w:rStyle w:val="Hyperlink"/>
          </w:rPr>
          <w:t xml:space="preserve">2019</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defintion of curvature. Polynomial functions will not always be appropriate and we encourage the development of algorithims that compute curvature from other curve-fitting strategies (reviewed in</w:t>
      </w:r>
      <w:r>
        <w:t xml:space="preserve"> </w:t>
      </w:r>
      <w:r>
        <w:t xml:space="preserve">(Rolhf,</w:t>
      </w:r>
      <w:r>
        <w:t xml:space="preserve"> </w:t>
      </w:r>
      <w:hyperlink w:anchor="ref-rohlf_1990">
        <w:r>
          <w:rPr>
            <w:rStyle w:val="Hyperlink"/>
          </w:rPr>
          <w:t xml:space="preserve">1990</w:t>
        </w:r>
      </w:hyperlink>
      <w:r>
        <w:t xml:space="preserve">)</w:t>
      </w:r>
      <w:r>
        <w:t xml:space="preserve">). Furthermore, there is potential for exisiting</w:t>
      </w:r>
      <w:r>
        <w:t xml:space="preserve"> </w:t>
      </w:r>
      <w:r>
        <w:rPr>
          <w:i/>
        </w:rPr>
        <w:t xml:space="preserve">geometric</w:t>
      </w:r>
      <w:r>
        <w:t xml:space="preserve"> </w:t>
      </w:r>
      <w:r>
        <w:t xml:space="preserve">morphometric (sensu</w:t>
      </w:r>
      <w:r>
        <w:t xml:space="preserve"> </w:t>
      </w:r>
      <w:r>
        <w:t xml:space="preserve">(Webster and Sheets,</w:t>
      </w:r>
      <w:r>
        <w:t xml:space="preserve"> </w:t>
      </w:r>
      <w:hyperlink w:anchor="ref-webster_2010">
        <w:r>
          <w:rPr>
            <w:rStyle w:val="Hyperlink"/>
          </w:rPr>
          <w:t xml:space="preserve">2010</w:t>
        </w:r>
      </w:hyperlink>
      <w:r>
        <w:t xml:space="preserve">)</w:t>
      </w:r>
      <w:r>
        <w:t xml:space="preserve">) algorithims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defintion of curvature,</w:t>
      </w:r>
      <w:r>
        <w:t xml:space="preserve"> </w:t>
      </w:r>
      <m:oMath>
        <m:r>
          <m:t>κ</m:t>
        </m:r>
      </m:oMath>
      <w:r>
        <w:t xml:space="preserve">, described in the previous section. Therefore there is great opportunity for existing algorithims (e.g. </w:t>
      </w:r>
      <w:r>
        <w:t xml:space="preserve">(Claude,</w:t>
      </w:r>
      <w:r>
        <w:t xml:space="preserve"> </w:t>
      </w:r>
      <w:hyperlink w:anchor="ref-claude_2008">
        <w:r>
          <w:rPr>
            <w:rStyle w:val="Hyperlink"/>
          </w:rPr>
          <w:t xml:space="preserve">2008</w:t>
        </w:r>
      </w:hyperlink>
      <w:r>
        <w:t xml:space="preserve">)</w:t>
      </w:r>
      <w:r>
        <w:t xml:space="preserve"> </w:t>
      </w:r>
      <w:r>
        <w:t xml:space="preserve">p.217-220) to parse curvature data as a part of an outline morphometrics analysis.</w:t>
      </w:r>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The tangent vector \mathbf{T} is calculated at infinitesimal increments, ds, along the curve. 4. Curvature is calculated as the rate of change of the tangent vectors at every point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The tangent vector</w:t>
      </w:r>
      <w:r>
        <w:t xml:space="preserve"> </w:t>
      </w:r>
      <m:oMath>
        <m:r>
          <m:rPr>
            <m:sty m:val="b"/>
          </m:rPr>
          <m:t>T</m:t>
        </m:r>
      </m:oMath>
      <w:r>
        <w:t xml:space="preserve"> </w:t>
      </w:r>
      <w:r>
        <w:t xml:space="preserve">is calculated at infinitesimal increments,</w:t>
      </w:r>
      <w:r>
        <w:t xml:space="preserve"> </w:t>
      </w:r>
      <m:oMath>
        <m:r>
          <m:t>d</m:t>
        </m:r>
        <m:r>
          <m:t>s</m:t>
        </m:r>
      </m:oMath>
      <w:r>
        <w:t xml:space="preserve">, along the curve. 4. Curvature is calculated as the rate of change of the tangent vectors at every point along the curve. Total curvature is calculated by the methods outlined in Section 3.</w:t>
      </w:r>
    </w:p>
    <w:p>
      <w:pPr>
        <w:pStyle w:val="Heading4"/>
      </w:pPr>
      <w:bookmarkStart w:id="45" w:name="Xe98c6fd457a4c76973c7232e837f8a2ed19fd3d"/>
      <w:r>
        <w:t xml:space="preserve">5. Proof of concept: A study of the development of curvature in</w:t>
      </w:r>
      <w:r>
        <w:t xml:space="preserve"> </w:t>
      </w:r>
      <w:r>
        <w:rPr>
          <w:i/>
        </w:rPr>
        <w:t xml:space="preserve">Epimedium</w:t>
      </w:r>
      <w:bookmarkEnd w:id="45"/>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S2).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46">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47">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(Table S3).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 </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48"/>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 </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similar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jpeg" id="0" name="Picture"/>
                    <pic:cNvPicPr>
                      <a:picLocks noChangeArrowheads="1" noChangeAspect="1"/>
                    </pic:cNvPicPr>
                  </pic:nvPicPr>
                  <pic:blipFill>
                    <a:blip r:embed="rId4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carothers_1982</w:t>
            </w:r>
          </w:p>
        </w:tc>
        <w:tc>
          <w:p>
            <w:pPr>
              <w:pStyle w:val="Compact"/>
              <w:jc w:val="left"/>
            </w:pPr>
            <w:r>
              <w:t xml:space="preserve">Effects of Trophic Morphology and Behavior on Foraging Rates of Three Hawaiian Honeycreeper</w:t>
            </w:r>
          </w:p>
        </w:tc>
        <w:tc>
          <w:p>
            <w:pPr>
              <w:pStyle w:val="Compact"/>
              <w:jc w:val="left"/>
            </w:pPr>
            <w:r>
              <w:t xml:space="preserve">Not defined (angle of deflection): based on use of degrees to express curvature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smith_1995</w:t>
            </w:r>
          </w:p>
        </w:tc>
        <w:tc>
          <w:p>
            <w:pPr>
              <w:pStyle w:val="Compact"/>
              <w:jc w:val="left"/>
            </w:pPr>
            <w:r>
              <w:t xml:space="preserve">Evolutionary Consequences of Extinctions in Populations of a Hawaiian Honeycreepe</w:t>
            </w:r>
          </w:p>
        </w:tc>
        <w:tc>
          <w:p>
            <w:pPr>
              <w:pStyle w:val="Compact"/>
              <w:jc w:val="left"/>
            </w:pPr>
            <w:r>
              <w:t xml:space="preserve">inverse radius</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miller_2017</w:t>
            </w:r>
          </w:p>
        </w:tc>
        <w:tc>
          <w:p>
            <w:pPr>
              <w:pStyle w:val="Compact"/>
              <w:jc w:val="left"/>
            </w:pPr>
            <w:r>
              <w:t xml:space="preserve">Ecological Divergence among Closely Related, Morphologically Similar Honeyeaters (Aves: Meliphagidae) Co-occurring in Arid Australian Environments</w:t>
            </w:r>
          </w:p>
        </w:tc>
        <w:tc>
          <w:p>
            <w:pPr>
              <w:pStyle w:val="Compact"/>
              <w:jc w:val="left"/>
            </w:pPr>
            <w:r>
              <w:t xml:space="preserve">arch:chord ratio</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mountainspring_1987</w:t>
            </w:r>
          </w:p>
        </w:tc>
        <w:tc>
          <w:p>
            <w:pPr>
              <w:pStyle w:val="Compact"/>
              <w:jc w:val="left"/>
            </w:pPr>
            <w:r>
              <w:t xml:space="preserve">sexual dimorphism and foraging preferences of the Hawaiian honeycreeper (Pseudonestor xanthophrys)</w:t>
            </w:r>
          </w:p>
        </w:tc>
        <w:tc>
          <w:p>
            <w:pPr>
              <w:pStyle w:val="Compact"/>
              <w:jc w:val="left"/>
            </w:pPr>
            <w:r>
              <w:t xml:space="preserve">mandibular index</w:t>
            </w:r>
          </w:p>
        </w:tc>
      </w:tr>
      <w:tr>
        <w:tc>
          <w:p>
            <w:pPr>
              <w:pStyle w:val="Compact"/>
              <w:jc w:val="left"/>
            </w:pPr>
            <w:r>
              <w:t xml:space="preserve">lindqvist_2003</w:t>
            </w:r>
          </w:p>
        </w:tc>
        <w:tc>
          <w:p>
            <w:pPr>
              <w:pStyle w:val="Compact"/>
              <w:jc w:val="left"/>
            </w:pPr>
            <w:r>
              <w:t xml:space="preserve">Cladogenesis and reticulation in the Hawaiianendemic mints (Lamiaceae)</w:t>
            </w:r>
          </w:p>
        </w:tc>
        <w:tc>
          <w:p>
            <w:pPr>
              <w:pStyle w:val="Compact"/>
              <w:jc w:val="left"/>
            </w:pPr>
            <w:r>
              <w:t xml:space="preserve">qualitative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pPr>
        <w:pStyle w:val="BodyText"/>
      </w:pPr>
      <w:r>
        <w:t xml:space="preserve"> </w:t>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Species_epithet</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5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Landmarking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5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Landmarking</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52"/>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53" w:name="references"/>
      <w:r>
        <w:t xml:space="preserve">References</w:t>
      </w:r>
      <w:bookmarkEnd w:id="53"/>
    </w:p>
    <w:p>
      <w:pPr>
        <w:pStyle w:val="FirstParagraph"/>
      </w:pPr>
    </w:p>
    <w:bookmarkStart w:id="111" w:name="refs"/>
    <w:bookmarkStart w:id="54" w:name="ref-geomorph_2019"/>
    <w:p>
      <w:pPr>
        <w:pStyle w:val="Bibliography"/>
      </w:pPr>
      <w:r>
        <w:t xml:space="preserve">Adams, D., Collyer, M., and Kaliontzopoulou, A. (2019). Geomorph: Software for geometric morphometric analyses. R package version 3.1.0.</w:t>
      </w:r>
    </w:p>
    <w:bookmarkEnd w:id="54"/>
    <w:bookmarkStart w:id="55"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55"/>
    <w:bookmarkStart w:id="56" w:name="ref-asada_1986"/>
    <w:p>
      <w:pPr>
        <w:pStyle w:val="Bibliography"/>
      </w:pPr>
      <w:r>
        <w:t xml:space="preserve">Asada, H., and Brady, M. (1986). The curvature primal sketch. IEEE Transactions on Pattern Analysis and Machine Intelligence 2–14.</w:t>
      </w:r>
    </w:p>
    <w:bookmarkEnd w:id="56"/>
    <w:bookmarkStart w:id="57" w:name="ref-attneave_1956"/>
    <w:p>
      <w:pPr>
        <w:pStyle w:val="Bibliography"/>
      </w:pPr>
      <w:r>
        <w:t xml:space="preserve">Attneave, F., and Arnoult, M.D. (1956). The quantitative study of shape and pattern perception. Psychological Bulletin</w:t>
      </w:r>
      <w:r>
        <w:t xml:space="preserve"> </w:t>
      </w:r>
      <w:r>
        <w:rPr>
          <w:i/>
        </w:rPr>
        <w:t xml:space="preserve">53</w:t>
      </w:r>
      <w:r>
        <w:t xml:space="preserve">, 452.</w:t>
      </w:r>
    </w:p>
    <w:bookmarkEnd w:id="57"/>
    <w:bookmarkStart w:id="58" w:name="ref-baldwin_1931"/>
    <w:p>
      <w:pPr>
        <w:pStyle w:val="Bibliography"/>
      </w:pPr>
      <w:r>
        <w:t xml:space="preserve">Baldwin, S.P., Oberholser, H.C., and Worley, L.G. (1931). Measurements of birds (Cleveland Museum of Natural History).</w:t>
      </w:r>
    </w:p>
    <w:bookmarkEnd w:id="58"/>
    <w:bookmarkStart w:id="59"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9"/>
    <w:bookmarkStart w:id="60" w:name="ref-bell_1956"/>
    <w:p>
      <w:pPr>
        <w:pStyle w:val="Bibliography"/>
      </w:pPr>
      <w:r>
        <w:t xml:space="preserve">Bell, J. (1956). 2619. Tangent, chord theorem. The Mathematical Gazette</w:t>
      </w:r>
      <w:r>
        <w:t xml:space="preserve"> </w:t>
      </w:r>
      <w:r>
        <w:rPr>
          <w:i/>
        </w:rPr>
        <w:t xml:space="preserve">40</w:t>
      </w:r>
      <w:r>
        <w:t xml:space="preserve">, 211–212.</w:t>
      </w:r>
    </w:p>
    <w:bookmarkEnd w:id="60"/>
    <w:bookmarkStart w:id="61"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61"/>
    <w:bookmarkStart w:id="62"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62"/>
    <w:bookmarkStart w:id="63"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63"/>
    <w:bookmarkStart w:id="64"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64"/>
    <w:bookmarkStart w:id="65" w:name="ref-bookstein_1978"/>
    <w:p>
      <w:pPr>
        <w:pStyle w:val="Bibliography"/>
      </w:pPr>
      <w:r>
        <w:t xml:space="preserve">Bookstein, F.L. (1978). The measurement of biological shape and shape change (Springer Science &amp; Business Media).</w:t>
      </w:r>
    </w:p>
    <w:bookmarkEnd w:id="65"/>
    <w:bookmarkStart w:id="66" w:name="ref-bookstein_1991"/>
    <w:p>
      <w:pPr>
        <w:pStyle w:val="Bibliography"/>
      </w:pPr>
      <w:r>
        <w:t xml:space="preserve">Bookstein, F.L. (1991). Morphometric tools for landmark data: Geometry and biology (Cambridge University Press).</w:t>
      </w:r>
    </w:p>
    <w:bookmarkEnd w:id="66"/>
    <w:bookmarkStart w:id="67" w:name="ref-borchers_2019"/>
    <w:p>
      <w:pPr>
        <w:pStyle w:val="Bibliography"/>
      </w:pPr>
      <w:r>
        <w:t xml:space="preserve">Borchers, H.W. (2019). Pracma: Practical numerical math functions. R package version 2.2.5.</w:t>
      </w:r>
    </w:p>
    <w:bookmarkEnd w:id="67"/>
    <w:bookmarkStart w:id="68"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8"/>
    <w:bookmarkStart w:id="69"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9"/>
    <w:bookmarkStart w:id="70" w:name="ref-casey_1996"/>
    <w:p>
      <w:pPr>
        <w:pStyle w:val="Bibliography"/>
      </w:pPr>
      <w:r>
        <w:t xml:space="preserve">Casey, J. (1996). Exploring curvature (Braunschweig, Germany: Friedr. Vieweg &amp; Sohn Verlagsgesellschaft mbH).</w:t>
      </w:r>
    </w:p>
    <w:bookmarkEnd w:id="70"/>
    <w:bookmarkStart w:id="71" w:name="ref-claude_2008"/>
    <w:p>
      <w:pPr>
        <w:pStyle w:val="Bibliography"/>
      </w:pPr>
      <w:r>
        <w:t xml:space="preserve">Claude, J. (2008). Morphometrics with r (Springer Science &amp; Business Media).</w:t>
      </w:r>
    </w:p>
    <w:bookmarkEnd w:id="71"/>
    <w:bookmarkStart w:id="72"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72"/>
    <w:bookmarkStart w:id="73"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73"/>
    <w:bookmarkStart w:id="74"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4"/>
    <w:bookmarkStart w:id="75"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5"/>
    <w:bookmarkStart w:id="76"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6"/>
    <w:bookmarkStart w:id="77"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7"/>
    <w:bookmarkStart w:id="78"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8"/>
    <w:bookmarkStart w:id="79"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9"/>
    <w:bookmarkStart w:id="80"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0"/>
    <w:bookmarkStart w:id="81"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1"/>
    <w:bookmarkStart w:id="82"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2"/>
    <w:bookmarkStart w:id="83"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83"/>
    <w:bookmarkStart w:id="84"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4"/>
    <w:bookmarkStart w:id="85"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85"/>
    <w:bookmarkStart w:id="86" w:name="ref-maglianesi_2015_b"/>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86"/>
    <w:bookmarkStart w:id="87"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87"/>
    <w:bookmarkStart w:id="88" w:name="ref-minnaar_2019"/>
    <w:p>
      <w:pPr>
        <w:pStyle w:val="Bibliography"/>
      </w:pPr>
      <w:r>
        <w:t xml:space="preserve">Minnaar, C., Jager, M. de, and Anderson, B. (2019). Intraspecific divergence in floral-tube length promotes asymmetric pollen movement and reproductive isolation. New Phytologist.</w:t>
      </w:r>
    </w:p>
    <w:bookmarkEnd w:id="88"/>
    <w:bookmarkStart w:id="89"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89"/>
    <w:bookmarkStart w:id="90"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90"/>
    <w:bookmarkStart w:id="91"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91"/>
    <w:bookmarkStart w:id="92"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92"/>
    <w:bookmarkStart w:id="93" w:name="ref-robertson_1889"/>
    <w:p>
      <w:pPr>
        <w:pStyle w:val="Bibliography"/>
      </w:pPr>
      <w:r>
        <w:t xml:space="preserve">Robertson, C. (1889). Flowers and insects. II. Botanical Gazette</w:t>
      </w:r>
      <w:r>
        <w:t xml:space="preserve"> </w:t>
      </w:r>
      <w:r>
        <w:rPr>
          <w:i/>
        </w:rPr>
        <w:t xml:space="preserve">14</w:t>
      </w:r>
      <w:r>
        <w:t xml:space="preserve">, 172–178.</w:t>
      </w:r>
    </w:p>
    <w:bookmarkEnd w:id="93"/>
    <w:bookmarkStart w:id="94" w:name="ref-rohlf_2015"/>
    <w:p>
      <w:pPr>
        <w:pStyle w:val="Bibliography"/>
      </w:pPr>
      <w:r>
        <w:t xml:space="preserve">Rohlf, F.J. (2015). The tps series of software. Hystrix</w:t>
      </w:r>
      <w:r>
        <w:t xml:space="preserve"> </w:t>
      </w:r>
      <w:r>
        <w:rPr>
          <w:i/>
        </w:rPr>
        <w:t xml:space="preserve">26</w:t>
      </w:r>
      <w:r>
        <w:t xml:space="preserve">.</w:t>
      </w:r>
    </w:p>
    <w:bookmarkEnd w:id="94"/>
    <w:bookmarkStart w:id="95"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95"/>
    <w:bookmarkStart w:id="96"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96"/>
    <w:bookmarkStart w:id="97" w:name="ref-rutter_2000"/>
    <w:p>
      <w:pPr>
        <w:pStyle w:val="Bibliography"/>
      </w:pPr>
      <w:r>
        <w:t xml:space="preserve">Rutter, J.W. (2000). Geometry of curves (Boca Raton, FL: CRC Press, Taylor; Francis Group).</w:t>
      </w:r>
    </w:p>
    <w:bookmarkEnd w:id="97"/>
    <w:bookmarkStart w:id="98"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98"/>
    <w:bookmarkStart w:id="99"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99"/>
    <w:bookmarkStart w:id="100"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00"/>
    <w:bookmarkStart w:id="101"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01"/>
    <w:bookmarkStart w:id="102"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102"/>
    <w:bookmarkStart w:id="103"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03"/>
    <w:bookmarkStart w:id="104"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04"/>
    <w:bookmarkStart w:id="105"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05"/>
    <w:bookmarkStart w:id="106"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06"/>
    <w:bookmarkStart w:id="107"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07"/>
    <w:bookmarkStart w:id="108"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08"/>
    <w:bookmarkStart w:id="109"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09"/>
    <w:bookmarkStart w:id="110"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10"/>
    <w:bookmarkEnd w:id="111"/>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43" Target="Figures/Figure_4.jpg" TargetMode="External" /><Relationship Type="http://schemas.openxmlformats.org/officeDocument/2006/relationships/hyperlink" Id="rId46" Target="Figures/Figure_5.jpeg" TargetMode="External" /><Relationship Type="http://schemas.openxmlformats.org/officeDocument/2006/relationships/hyperlink" Id="rId26" Target="Figures/Figure_S1.jpg" TargetMode="External" /><Relationship Type="http://schemas.openxmlformats.org/officeDocument/2006/relationships/hyperlink" Id="rId47" Target="Figures/Figure_S2.jpg" TargetMode="External" /><Relationship Type="http://schemas.openxmlformats.org/officeDocument/2006/relationships/hyperlink" Id="rId41" Target="http://earth.geology.yale.edu/~ajs/1993/11.1993.11Macleod.pdf" TargetMode="External" /><Relationship Type="http://schemas.openxmlformats.org/officeDocument/2006/relationships/hyperlink" Id="rId37" Target="https://ebookcentral.proquest.com/lib/ubc/reader.action?docID=417711" TargetMode="External" /><Relationship Type="http://schemas.openxmlformats.org/officeDocument/2006/relationships/hyperlink" Id="rId40" Target="https://link-springer-com.ezproxy.library.ubc.ca/article/10.1007%2FBF01248355" TargetMode="External" /><Relationship Type="http://schemas.openxmlformats.org/officeDocument/2006/relationships/hyperlink" Id="rId36" Target="https://link-springer-com.ezproxy.library.ubc.ca/content/pdf/10.1007%2F978-3-642-93093-5_4.pdf" TargetMode="External" /><Relationship Type="http://schemas.openxmlformats.org/officeDocument/2006/relationships/hyperlink" Id="rId38" Target="https://link-springer-com.ezproxy.library.ubc.ca/content/pdf/10.1007%2FBF01033230.pdf" TargetMode="External" /><Relationship Type="http://schemas.openxmlformats.org/officeDocument/2006/relationships/hyperlink" Id="rId39" Target="https://www-jstor-org.ezproxy.library.ubc.ca/stable/pdf/2413076.pdf?refreqid=excelsior%3A17429d1175df70917de4fdf8cd7b38a1" TargetMode="External" /><Relationship Type="http://schemas.openxmlformats.org/officeDocument/2006/relationships/hyperlink" Id="rId42" Target="https://www.tandfonline.com/doi/abs/10.1080/11250000409356545" TargetMode="External" /></Relationships>
</file>

<file path=word/_rels/footnotes.xml.rels><?xml version="1.0" encoding="UTF-8"?>
<Relationships xmlns="http://schemas.openxmlformats.org/package/2006/relationships"><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43" Target="Figures/Figure_4.jpg" TargetMode="External" /><Relationship Type="http://schemas.openxmlformats.org/officeDocument/2006/relationships/hyperlink" Id="rId46" Target="Figures/Figure_5.jpeg" TargetMode="External" /><Relationship Type="http://schemas.openxmlformats.org/officeDocument/2006/relationships/hyperlink" Id="rId26" Target="Figures/Figure_S1.jpg" TargetMode="External" /><Relationship Type="http://schemas.openxmlformats.org/officeDocument/2006/relationships/hyperlink" Id="rId47" Target="Figures/Figure_S2.jpg" TargetMode="External" /><Relationship Type="http://schemas.openxmlformats.org/officeDocument/2006/relationships/hyperlink" Id="rId41" Target="http://earth.geology.yale.edu/~ajs/1993/11.1993.11Macleod.pdf" TargetMode="External" /><Relationship Type="http://schemas.openxmlformats.org/officeDocument/2006/relationships/hyperlink" Id="rId37" Target="https://ebookcentral.proquest.com/lib/ubc/reader.action?docID=417711" TargetMode="External" /><Relationship Type="http://schemas.openxmlformats.org/officeDocument/2006/relationships/hyperlink" Id="rId40" Target="https://link-springer-com.ezproxy.library.ubc.ca/article/10.1007%2FBF01248355" TargetMode="External" /><Relationship Type="http://schemas.openxmlformats.org/officeDocument/2006/relationships/hyperlink" Id="rId36" Target="https://link-springer-com.ezproxy.library.ubc.ca/content/pdf/10.1007%2F978-3-642-93093-5_4.pdf" TargetMode="External" /><Relationship Type="http://schemas.openxmlformats.org/officeDocument/2006/relationships/hyperlink" Id="rId38" Target="https://link-springer-com.ezproxy.library.ubc.ca/content/pdf/10.1007%2FBF01033230.pdf" TargetMode="External" /><Relationship Type="http://schemas.openxmlformats.org/officeDocument/2006/relationships/hyperlink" Id="rId39" Target="https://www-jstor-org.ezproxy.library.ubc.ca/stable/pdf/2413076.pdf?refreqid=excelsior%3A17429d1175df70917de4fdf8cd7b38a1" TargetMode="External" /><Relationship Type="http://schemas.openxmlformats.org/officeDocument/2006/relationships/hyperlink" Id="rId42" Target="https://www.tandfonline.com/doi/abs/10.1080/112500004093565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2020-01-24T16:53:46Z</dcterms:created>
  <dcterms:modified xsi:type="dcterms:W3CDTF">2020-01-24T16:53:46Z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