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jpg" ContentType="image/jpe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curvr</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While curvature mediates specialization in plant-hummingbird systems, in other nectivorous bird groups curvature has a different ecological role. In plant-passerine systems, curvature is more prevelant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noteable difference being that hummingbirds can maneuver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Floral and dietary diversity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Gómez et al.,</w:t>
      </w:r>
      <w:r>
        <w:t xml:space="preserve"> </w:t>
      </w:r>
      <w:hyperlink w:anchor="ref-gomez_2016">
        <w:r>
          <w:rPr>
            <w:rStyle w:val="Hyperlink"/>
          </w:rPr>
          <w:t xml:space="preserve">2016</w:t>
        </w:r>
      </w:hyperlink>
      <w:r>
        <w:t xml:space="preserve">; Olsen,</w:t>
      </w:r>
      <w:r>
        <w:t xml:space="preserve"> </w:t>
      </w:r>
      <w:hyperlink w:anchor="ref-olsen_2017">
        <w:r>
          <w:rPr>
            <w:rStyle w:val="Hyperlink"/>
          </w:rPr>
          <w:t xml:space="preserve">2017</w:t>
        </w:r>
      </w:hyperlink>
      <w:r>
        <w:t xml:space="preserve">; Vamosi et al.,</w:t>
      </w:r>
      <w:r>
        <w:t xml:space="preserve"> </w:t>
      </w:r>
      <w:hyperlink w:anchor="ref-vamosi_2018">
        <w:r>
          <w:rPr>
            <w:rStyle w:val="Hyperlink"/>
          </w:rPr>
          <w:t xml:space="preserve">2018</w:t>
        </w:r>
      </w:hyperlink>
      <w:r>
        <w:t xml:space="preserve">)</w:t>
      </w:r>
      <w:r>
        <w:t xml:space="preserve">, and curvature is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fruigivory, ornamental horticulture, taxonomy) are included in Table S1. There were numerous studies of plant-animal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In another study, total curvature of</w:t>
      </w:r>
      <w:r>
        <w:t xml:space="preserve"> </w:t>
      </w:r>
      <w:r>
        <w:rPr>
          <w:i/>
        </w:rPr>
        <w:t xml:space="preserve">Anthurium</w:t>
      </w:r>
      <w:r>
        <w:t xml:space="preserve"> </w:t>
      </w:r>
      <w:r>
        <w:t xml:space="preserve">Schott (Araceace)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4 discrete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Curvature (as defined in Section 3) was calculated using functions from the R package</w:t>
      </w:r>
      <w:r>
        <w:t xml:space="preserve"> </w:t>
      </w:r>
      <w:r>
        <w:rPr>
          <w:rStyle w:val="VerbatimChar"/>
        </w:rPr>
        <w:t xml:space="preserve">curvr</w:t>
      </w:r>
      <w:r>
        <w:t xml:space="preserve">.</w:t>
      </w:r>
    </w:p>
    <w:p>
      <w:pPr>
        <w:pStyle w:val="BodyText"/>
      </w:pPr>
      <w:r>
        <w:t xml:space="preserve"> </w:t>
      </w:r>
    </w:p>
    <w:p>
      <w:pPr>
        <w:pStyle w:val="BodyText"/>
      </w:pPr>
      <w:r>
        <w:t xml:space="preserve">Results and Discussion:</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In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Total adjusted curvature (as defined in section 3) at maturity did not vary between species. Hoever, we found that</w:t>
      </w:r>
      <w:r>
        <w:t xml:space="preserve"> </w:t>
      </w:r>
      <w:r>
        <w:rPr>
          <w:i/>
        </w:rPr>
        <w:t xml:space="preserve">E. koreanum</w:t>
      </w:r>
      <w:r>
        <w:t xml:space="preserve"> </w:t>
      </w:r>
      <w:r>
        <w:t xml:space="preserve">is more curved at the initial stages of development</w:t>
      </w:r>
      <w:r>
        <w:t xml:space="preserve"> </w:t>
      </w:r>
      <w:hyperlink r:id="rId35">
        <w:r>
          <w:rPr>
            <w:rStyle w:val="Hyperlink"/>
          </w:rPr>
          <w:t xml:space="preserve">Figure 5</w:t>
        </w:r>
      </w:hyperlink>
      <w:r>
        <w:t xml:space="preserve">. That is, after accounting for differences in size, the arc of the flowers of</w:t>
      </w:r>
      <w:r>
        <w:t xml:space="preserve"> </w:t>
      </w:r>
      <w:r>
        <w:rPr>
          <w:i/>
        </w:rPr>
        <w:t xml:space="preserve">E. koreanum</w:t>
      </w:r>
      <w:r>
        <w:t xml:space="preserve"> </w:t>
      </w:r>
      <w:r>
        <w:t xml:space="preserve">bends more than</w:t>
      </w:r>
      <w:r>
        <w:t xml:space="preserve"> </w:t>
      </w:r>
      <w:r>
        <w:rPr>
          <w:i/>
        </w:rPr>
        <w:t xml:space="preserve">E. violaceum</w:t>
      </w:r>
      <w:r>
        <w:t xml:space="preserve"> </w:t>
      </w:r>
      <w:r>
        <w:t xml:space="preserve">while developing in the bud.</w:t>
      </w:r>
    </w:p>
    <w:p>
      <w:pPr>
        <w:pStyle w:val="BodyText"/>
      </w:pPr>
      <w:r>
        <w:t xml:space="preserve">-We interpret this pattern as an example of heterochrony leading to convergence in shape: initial differences in the timing of development eventually produce flowers with comparable curvature.</w:t>
      </w:r>
    </w:p>
    <w:p>
      <w:pPr>
        <w:pStyle w:val="BodyText"/>
      </w:pPr>
      <w:r>
        <w:t xml:space="preserve">-Flowers are larger in</w:t>
      </w:r>
      <w:r>
        <w:t xml:space="preserve"> </w:t>
      </w:r>
      <w:r>
        <w:rPr>
          <w:i/>
        </w:rPr>
        <w:t xml:space="preserve">E. koreanum</w:t>
      </w:r>
      <w:r>
        <w:t xml:space="preserve"> </w:t>
      </w:r>
      <w:r>
        <w:t xml:space="preserve">at initial stages of development, but are surpassed in size at maturity by</w:t>
      </w:r>
      <w:r>
        <w:t xml:space="preserve"> </w:t>
      </w:r>
      <w:r>
        <w:rPr>
          <w:i/>
        </w:rPr>
        <w:t xml:space="preserve">E. violaceum</w:t>
      </w:r>
      <w:r>
        <w:t xml:space="preserve"> </w:t>
      </w:r>
      <w:r>
        <w:t xml:space="preserve">(Fig S1).</w:t>
      </w:r>
    </w:p>
    <w:p>
      <w:pPr>
        <w:pStyle w:val="BodyText"/>
      </w:pPr>
      <w:r>
        <w:t xml:space="preserve">-Because</w:t>
      </w:r>
      <w:r>
        <w:t xml:space="preserve"> </w:t>
      </w:r>
      <w:r>
        <w:rPr>
          <w:i/>
        </w:rPr>
        <w:t xml:space="preserve">E. koreanum</w:t>
      </w:r>
      <w:r>
        <w:t xml:space="preserve"> </w:t>
      </w:r>
      <w:r>
        <w:t xml:space="preserve">flowers are smaller at maturity, their development window is smaller, and arc length develops at a faster rate than</w:t>
      </w:r>
      <w:r>
        <w:t xml:space="preserve"> </w:t>
      </w:r>
      <w:r>
        <w:rPr>
          <w:i/>
        </w:rPr>
        <w:t xml:space="preserve">E. violaceum</w:t>
      </w:r>
      <w:r>
        <w:t xml:space="preserve"> </w:t>
      </w:r>
      <w:r>
        <w:t xml:space="preserve">(Fig S4).</w:t>
      </w:r>
    </w:p>
    <w:p>
      <w:pPr>
        <w:pStyle w:val="BodyText"/>
      </w:pPr>
      <w:r>
        <w:t xml:space="preserve">-A case of</w:t>
      </w:r>
      <w:r>
        <w:t xml:space="preserve"> </w:t>
      </w:r>
      <w:r>
        <w:t xml:space="preserve">‘</w:t>
      </w:r>
      <w:r>
        <w:t xml:space="preserve">acceleration</w:t>
      </w:r>
      <w:r>
        <w:t xml:space="preserve">’</w:t>
      </w:r>
      <w:r>
        <w:t xml:space="preserve"> </w:t>
      </w:r>
      <w:r>
        <w:t xml:space="preserve">from Fig.12 in Rudall and Bateman (2004)? Under the constraint that curvature is equal at maturity between</w:t>
      </w:r>
      <w:r>
        <w:t xml:space="preserve"> </w:t>
      </w:r>
      <w:r>
        <w:rPr>
          <w:i/>
        </w:rPr>
        <w:t xml:space="preserve">E. koreanum</w:t>
      </w:r>
      <w:r>
        <w:t xml:space="preserve"> </w:t>
      </w:r>
      <w:r>
        <w:t xml:space="preserve">and</w:t>
      </w:r>
      <w:r>
        <w:t xml:space="preserve"> </w:t>
      </w:r>
      <w:r>
        <w:rPr>
          <w:i/>
        </w:rPr>
        <w:t xml:space="preserve">E. violaceum</w:t>
      </w:r>
      <w:r>
        <w:t xml:space="preserve">, development of arc length must be accelerated.</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8"/>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5200650"/>
            <wp:effectExtent b="0" l="0" r="0" t="0"/>
            <wp:docPr descr="Figure 5: size vs curvature" title="" id="1" name="Picture"/>
            <a:graphic>
              <a:graphicData uri="http://schemas.openxmlformats.org/drawingml/2006/picture">
                <pic:pic>
                  <pic:nvPicPr>
                    <pic:cNvPr descr="Figures/Figure_5.jpeg" id="0" name="Picture"/>
                    <pic:cNvPicPr>
                      <a:picLocks noChangeArrowheads="1" noChangeAspect="1"/>
                    </pic:cNvPicPr>
                  </pic:nvPicPr>
                  <pic:blipFill>
                    <a:blip r:embed="rId40"/>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1"/>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CaptionedFigure"/>
      </w:pPr>
      <w:r>
        <w:drawing>
          <wp:inline>
            <wp:extent cx="5943600" cy="5188762"/>
            <wp:effectExtent b="0" l="0" r="0" t="0"/>
            <wp:docPr descr="Figure S4. Accelerated development of arclength in E. koreanum." title="" id="1" name="Picture"/>
            <a:graphic>
              <a:graphicData uri="http://schemas.openxmlformats.org/drawingml/2006/picture">
                <pic:pic>
                  <pic:nvPicPr>
                    <pic:cNvPr descr="Figures/Figure_S4.jpeg" id="0" name="Picture"/>
                    <pic:cNvPicPr>
                      <a:picLocks noChangeArrowheads="1" noChangeAspect="1"/>
                    </pic:cNvPicPr>
                  </pic:nvPicPr>
                  <pic:blipFill>
                    <a:blip r:embed="rId44"/>
                    <a:stretch>
                      <a:fillRect/>
                    </a:stretch>
                  </pic:blipFill>
                  <pic:spPr bwMode="auto">
                    <a:xfrm>
                      <a:off x="0" y="0"/>
                      <a:ext cx="5943600" cy="5188762"/>
                    </a:xfrm>
                    <a:prstGeom prst="rect">
                      <a:avLst/>
                    </a:prstGeom>
                    <a:noFill/>
                    <a:ln w="9525">
                      <a:noFill/>
                      <a:headEnd/>
                      <a:tailEnd/>
                    </a:ln>
                  </pic:spPr>
                </pic:pic>
              </a:graphicData>
            </a:graphic>
          </wp:inline>
        </w:drawing>
      </w:r>
    </w:p>
    <w:p>
      <w:pPr>
        <w:pStyle w:val="ImageCaption"/>
      </w:pPr>
      <w:r>
        <w:t xml:space="preserve">Figure S4. Accelerated development of arclength in</w:t>
      </w:r>
      <w:r>
        <w:t xml:space="preserve"> </w:t>
      </w:r>
      <w:r>
        <w:rPr>
          <w:i/>
        </w:rPr>
        <w:t xml:space="preserve">E. koreanum</w:t>
      </w:r>
      <w:r>
        <w:t xml:space="preserve">.</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5" w:name="references"/>
      <w:r>
        <w:t xml:space="preserve">References</w:t>
      </w:r>
      <w:bookmarkEnd w:id="45"/>
    </w:p>
    <w:bookmarkStart w:id="154" w:name="refs"/>
    <w:bookmarkStart w:id="46"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6"/>
    <w:bookmarkStart w:id="47"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7"/>
    <w:bookmarkStart w:id="48"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8"/>
    <w:bookmarkStart w:id="49" w:name="ref-baldwin_1931"/>
    <w:p>
      <w:pPr>
        <w:pStyle w:val="Bibliography"/>
      </w:pPr>
      <w:r>
        <w:t xml:space="preserve">Baldwin, S.P., Oberholser, H.C., and Worley, L.G. (1931). Measurements of birds (Cleveland Museum of Natural History).</w:t>
      </w:r>
    </w:p>
    <w:bookmarkEnd w:id="49"/>
    <w:bookmarkStart w:id="50"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0"/>
    <w:bookmarkStart w:id="51" w:name="ref-bell_1956"/>
    <w:p>
      <w:pPr>
        <w:pStyle w:val="Bibliography"/>
      </w:pPr>
      <w:r>
        <w:t xml:space="preserve">Bell, J. (1956). Tangent, chord theorem. The Mathematical Gazette</w:t>
      </w:r>
      <w:r>
        <w:t xml:space="preserve"> </w:t>
      </w:r>
      <w:r>
        <w:rPr>
          <w:i/>
        </w:rPr>
        <w:t xml:space="preserve">40</w:t>
      </w:r>
      <w:r>
        <w:t xml:space="preserve">, 211–212.</w:t>
      </w:r>
    </w:p>
    <w:bookmarkEnd w:id="51"/>
    <w:bookmarkStart w:id="52"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2"/>
    <w:bookmarkStart w:id="53"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3"/>
    <w:bookmarkStart w:id="54"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4"/>
    <w:bookmarkStart w:id="55"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5"/>
    <w:bookmarkStart w:id="56"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56"/>
    <w:bookmarkStart w:id="57"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7"/>
    <w:bookmarkStart w:id="58" w:name="ref-bookstein_1978"/>
    <w:p>
      <w:pPr>
        <w:pStyle w:val="Bibliography"/>
      </w:pPr>
      <w:r>
        <w:t xml:space="preserve">Bookstein, F.L. (1978). The measurement of biological shape and shape change (Springer Science &amp; Business Media).</w:t>
      </w:r>
    </w:p>
    <w:bookmarkEnd w:id="58"/>
    <w:bookmarkStart w:id="59" w:name="ref-bookstein_1991"/>
    <w:p>
      <w:pPr>
        <w:pStyle w:val="Bibliography"/>
      </w:pPr>
      <w:r>
        <w:t xml:space="preserve">Bookstein, F.L. (1991). Morphometric tools for landmark data: geometry and biology (Cambridge University Press).</w:t>
      </w:r>
    </w:p>
    <w:bookmarkEnd w:id="59"/>
    <w:bookmarkStart w:id="60"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0"/>
    <w:bookmarkStart w:id="61"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61"/>
    <w:bookmarkStart w:id="62"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2"/>
    <w:bookmarkStart w:id="63"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3"/>
    <w:bookmarkStart w:id="64"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4"/>
    <w:bookmarkStart w:id="65"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5"/>
    <w:bookmarkStart w:id="66" w:name="ref-casey_1996"/>
    <w:p>
      <w:pPr>
        <w:pStyle w:val="Bibliography"/>
      </w:pPr>
      <w:r>
        <w:t xml:space="preserve">Casey, J. (1996). Exploring Curvature (Braunschweig, Germany: Friedr. Vieweg &amp; Sohn Verlagsgesellschaft mbH).</w:t>
      </w:r>
    </w:p>
    <w:bookmarkEnd w:id="66"/>
    <w:bookmarkStart w:id="67" w:name="ref-claude_2008"/>
    <w:p>
      <w:pPr>
        <w:pStyle w:val="Bibliography"/>
      </w:pPr>
      <w:r>
        <w:t xml:space="preserve">Claude, J. (2008). Morphometrics with R (Springer Science &amp; Business Media).</w:t>
      </w:r>
    </w:p>
    <w:bookmarkEnd w:id="67"/>
    <w:bookmarkStart w:id="68"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8"/>
    <w:bookmarkStart w:id="69"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9"/>
    <w:bookmarkStart w:id="70"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0"/>
    <w:bookmarkStart w:id="71"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1"/>
    <w:bookmarkStart w:id="72"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2"/>
    <w:bookmarkStart w:id="73"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3"/>
    <w:bookmarkStart w:id="74"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4"/>
    <w:bookmarkStart w:id="75"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5"/>
    <w:bookmarkStart w:id="76"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6"/>
    <w:bookmarkStart w:id="77"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7"/>
    <w:bookmarkStart w:id="78"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8"/>
    <w:bookmarkStart w:id="79" w:name="ref-gomez_2016"/>
    <w:p>
      <w:pPr>
        <w:pStyle w:val="Bibliography"/>
      </w:pPr>
      <w:r>
        <w:t xml:space="preserve">Gómez, J.M., Torices, R., Lorite, J., Klingenberg, C.P., and Perfectti, F. (2016). The role of pollinators in the evolution of corolla shape variation, disparity and integration in a highly diversified plant family with a conserved floral bauplan. Annals of Botany</w:t>
      </w:r>
      <w:r>
        <w:t xml:space="preserve"> </w:t>
      </w:r>
      <w:r>
        <w:rPr>
          <w:i/>
        </w:rPr>
        <w:t xml:space="preserve">117</w:t>
      </w:r>
      <w:r>
        <w:t xml:space="preserve">, 889–904.</w:t>
      </w:r>
    </w:p>
    <w:bookmarkEnd w:id="79"/>
    <w:bookmarkStart w:id="8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80"/>
    <w:bookmarkStart w:id="8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1"/>
    <w:bookmarkStart w:id="82"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2"/>
    <w:bookmarkStart w:id="83"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3"/>
    <w:bookmarkStart w:id="84"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4"/>
    <w:bookmarkStart w:id="85" w:name="ref-hamilton_1975"/>
    <w:p>
      <w:pPr>
        <w:pStyle w:val="Bibliography"/>
      </w:pPr>
      <w:r>
        <w:t xml:space="preserve">Hamilton, R.B. (1975). Comparative behavior of the American Avocet and the Black-necked Stilt (Recurvirostridae). Ornithological Monographs iii–98.</w:t>
      </w:r>
    </w:p>
    <w:bookmarkEnd w:id="85"/>
    <w:bookmarkStart w:id="86"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6"/>
    <w:bookmarkStart w:id="87"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7"/>
    <w:bookmarkStart w:id="88"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8"/>
    <w:bookmarkStart w:id="89"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9"/>
    <w:bookmarkStart w:id="90"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90"/>
    <w:bookmarkStart w:id="91"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1"/>
    <w:bookmarkStart w:id="9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2"/>
    <w:bookmarkStart w:id="93"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3"/>
    <w:bookmarkStart w:id="94"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4"/>
    <w:bookmarkStart w:id="95"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5"/>
    <w:bookmarkStart w:id="96"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6"/>
    <w:bookmarkStart w:id="97"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7"/>
    <w:bookmarkStart w:id="98"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8"/>
    <w:bookmarkStart w:id="99"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9"/>
    <w:bookmarkStart w:id="100"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100"/>
    <w:bookmarkStart w:id="101"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1"/>
    <w:bookmarkStart w:id="102"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2"/>
    <w:bookmarkStart w:id="103"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3"/>
    <w:bookmarkStart w:id="104"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4"/>
    <w:bookmarkStart w:id="105"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5"/>
    <w:bookmarkStart w:id="106"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6"/>
    <w:bookmarkStart w:id="107"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7"/>
    <w:bookmarkStart w:id="10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8"/>
    <w:bookmarkStart w:id="109"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9"/>
    <w:bookmarkStart w:id="110"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10"/>
    <w:bookmarkStart w:id="111"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11"/>
    <w:bookmarkStart w:id="112"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2"/>
    <w:bookmarkStart w:id="113"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3"/>
    <w:bookmarkStart w:id="114"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4"/>
    <w:bookmarkStart w:id="115"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5"/>
    <w:bookmarkStart w:id="116"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6"/>
    <w:bookmarkStart w:id="117"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7"/>
    <w:bookmarkStart w:id="118"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8"/>
    <w:bookmarkStart w:id="119"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9"/>
    <w:bookmarkStart w:id="12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20"/>
    <w:bookmarkStart w:id="121" w:name="ref-R_2017"/>
    <w:p>
      <w:pPr>
        <w:pStyle w:val="Bibliography"/>
      </w:pPr>
      <w:r>
        <w:t xml:space="preserve">R Core Team (2017). R: A language and environment for statistical computing (Vienna, Austria: R Foundation for Statistical Computing).</w:t>
      </w:r>
    </w:p>
    <w:bookmarkEnd w:id="121"/>
    <w:bookmarkStart w:id="122"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2"/>
    <w:bookmarkStart w:id="123" w:name="ref-robertson_1889"/>
    <w:p>
      <w:pPr>
        <w:pStyle w:val="Bibliography"/>
      </w:pPr>
      <w:r>
        <w:t xml:space="preserve">Robertson, C. (1889). Flowers and Insects. II. Botanical Gazette</w:t>
      </w:r>
      <w:r>
        <w:t xml:space="preserve"> </w:t>
      </w:r>
      <w:r>
        <w:rPr>
          <w:i/>
        </w:rPr>
        <w:t xml:space="preserve">14</w:t>
      </w:r>
      <w:r>
        <w:t xml:space="preserve">, 172–178.</w:t>
      </w:r>
    </w:p>
    <w:bookmarkEnd w:id="123"/>
    <w:bookmarkStart w:id="124"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4"/>
    <w:bookmarkStart w:id="125"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25"/>
    <w:bookmarkStart w:id="126"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6"/>
    <w:bookmarkStart w:id="12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7"/>
    <w:bookmarkStart w:id="128" w:name="ref-rutter_2000"/>
    <w:p>
      <w:pPr>
        <w:pStyle w:val="Bibliography"/>
      </w:pPr>
      <w:r>
        <w:t xml:space="preserve">Rutter, J.W. (2000). Geometry of Curves (Boca Raton, FL: CRC Press, Taylor; Francis Group).</w:t>
      </w:r>
    </w:p>
    <w:bookmarkEnd w:id="128"/>
    <w:bookmarkStart w:id="12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9"/>
    <w:bookmarkStart w:id="130"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0"/>
    <w:bookmarkStart w:id="131" w:name="ref-snow_1972"/>
    <w:p>
      <w:pPr>
        <w:pStyle w:val="Bibliography"/>
      </w:pPr>
      <w:r>
        <w:t xml:space="preserve">Snow, B.K., and Snow, D. (1972). Feeding niches of hummingbirds in a Trinidad valley. The Journal of Animal Ecology 471–485.</w:t>
      </w:r>
    </w:p>
    <w:bookmarkEnd w:id="131"/>
    <w:bookmarkStart w:id="132"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2"/>
    <w:bookmarkStart w:id="133"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3"/>
    <w:bookmarkStart w:id="134"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4"/>
    <w:bookmarkStart w:id="135"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5"/>
    <w:bookmarkStart w:id="136" w:name="ref-stiles_1995"/>
    <w:p>
      <w:pPr>
        <w:pStyle w:val="Bibliography"/>
      </w:pPr>
      <w:r>
        <w:t xml:space="preserve">Stiles, F.G. (1995). Behavioral, ecological and morphological correlates of foraging for arthropods by the hummingbirds of a tropical wet forest. Condor 853–878.</w:t>
      </w:r>
    </w:p>
    <w:bookmarkEnd w:id="136"/>
    <w:bookmarkStart w:id="137"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7"/>
    <w:bookmarkStart w:id="138"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8"/>
    <w:bookmarkStart w:id="139"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9"/>
    <w:bookmarkStart w:id="14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0"/>
    <w:bookmarkStart w:id="141"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1"/>
    <w:bookmarkStart w:id="142"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2"/>
    <w:bookmarkStart w:id="143"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3"/>
    <w:bookmarkStart w:id="14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4"/>
    <w:bookmarkStart w:id="145"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5"/>
    <w:bookmarkStart w:id="146"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6"/>
    <w:bookmarkStart w:id="147"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7"/>
    <w:bookmarkStart w:id="148"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8"/>
    <w:bookmarkStart w:id="14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9"/>
    <w:bookmarkStart w:id="150"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0"/>
    <w:bookmarkStart w:id="151"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1"/>
    <w:bookmarkStart w:id="152"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2"/>
    <w:bookmarkStart w:id="153"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3"/>
    <w:bookmarkEnd w:id="154"/>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26" Target="Figures/Figure_S1.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26" Target="Figures/Figure_S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2020-03-09T19:19:01Z</dcterms:created>
  <dcterms:modified xsi:type="dcterms:W3CDTF">2020-03-09T19:19:01Z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