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jpg" ContentType="image/jpeg"/>
  <Override PartName="/word/media/rId29.jpg" ContentType="image/jpeg"/>
  <Override PartName="/word/media/rId34.jpg" ContentType="image/jpeg"/>
  <Override PartName="/word/media/rId41.jpg" ContentType="image/jpeg"/>
  <Override PartName="/word/media/rId40.jpg" ContentType="image/jpeg"/>
  <Override PartName="/word/media/rId39.jpg" ContentType="image/jpeg"/>
  <Override PartName="/word/media/rId38.jpg" ContentType="image/jpeg"/>
  <Override PartName="/word/media/rId35.jpg" ContentType="image/jpeg"/>
  <Override PartName="/word/media/rId36.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Heading4"/>
      </w:pPr>
      <w:bookmarkStart w:id="20" w:name="abstract"/>
      <w:r>
        <w:t xml:space="preserve">Abstract</w:t>
      </w:r>
      <w:bookmarkEnd w:id="20"/>
    </w:p>
    <w:p>
      <w:pPr>
        <w:pStyle w:val="FirstParagraph"/>
      </w:pPr>
      <w:r>
        <w:t xml:space="preserve">The curvature of flowers and pollinators (e.g. hummingbird bills) along the lateral plane is a widespread, convergent trait with important ecological and evolutionary implications. This review summarizes and discusses why pollination ecologists are concerned with flower-pollinator curvature and what we have learned from its study. We then review the methods historically used to measure curvature and suggest a clarification of its definition by referring to the differential geometry literature. We demonstrate the applicability of the revised definition as a field-portable methodology. Intuitively, curvature is the degree to which a line is not straight. In plane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The utility of this metric was tested by studying the development of nectar spur curvature in</w:t>
      </w:r>
      <w:r>
        <w:t xml:space="preserve"> </w:t>
      </w:r>
      <w:r>
        <w:rPr>
          <w:i/>
        </w:rPr>
        <w:t xml:space="preserve">Epimedium</w:t>
      </w:r>
      <w:r>
        <w:t xml:space="preserve"> </w:t>
      </w:r>
      <w:r>
        <w:t xml:space="preserve">(Berberidaceae).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suite of functions used to quantify floral curvature in this study are available as an open-source R package</w:t>
      </w:r>
      <w:r>
        <w:t xml:space="preserve"> </w:t>
      </w:r>
      <w:r>
        <w:t xml:space="preserve">‘</w:t>
      </w:r>
      <w:r>
        <w:t xml:space="preserve">kyokusen</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1" w:name="Xd9574ba9fc8b8c8a16a91b089379ae145e5e489"/>
      <w:r>
        <w:t xml:space="preserve">1. The ecology of flower-pollinator curvature</w:t>
      </w:r>
      <w:bookmarkEnd w:id="21"/>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
        <w:r>
          <w:rPr>
            <w:rStyle w:val="Hyperlink"/>
          </w:rPr>
          <w:t xml:space="preserve">2015</w:t>
        </w:r>
      </w:hyperlink>
      <w:hyperlink w:anchor="ref-maglianesi_2015">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2" w:name="summary-of-the-literature"/>
      <w:r>
        <w:t xml:space="preserve">2. Summary of the literature</w:t>
      </w:r>
      <w:bookmarkEnd w:id="22"/>
    </w:p>
    <w:p>
      <w:pPr>
        <w:pStyle w:val="FirstParagraph"/>
      </w:pPr>
      <w:r>
        <w:t xml:space="preserve">We searched the scientific literature for studies focusing on or considering floral curvature - a common measurement used in pollination ecology as a proxy for specialization. We make the distinction between measuring curvature in the lateral plane versus measuring curvature of surfaces (e.g. of petals). The methods for handling surface (Gaussian) curvature are relatively developed and well-defined</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literature was sourced by querying Google Scholar for the terms</w:t>
      </w:r>
      <w:r>
        <w:t xml:space="preserve"> </w:t>
      </w:r>
      <w:r>
        <w:t xml:space="preserve">“</w:t>
      </w:r>
      <w:r>
        <w:t xml:space="preserve">corolla curvature</w:t>
      </w:r>
      <w:r>
        <w:t xml:space="preserve">”</w:t>
      </w:r>
      <w:r>
        <w:t xml:space="preserve">,</w:t>
      </w:r>
      <w:r>
        <w:t xml:space="preserve"> </w:t>
      </w:r>
      <w:r>
        <w:t xml:space="preserve">“</w:t>
      </w:r>
      <w:r>
        <w:t xml:space="preserve">flower curvature</w:t>
      </w:r>
      <w:r>
        <w:t xml:space="preserve">”</w:t>
      </w:r>
      <w:r>
        <w:t xml:space="preserve">, and</w:t>
      </w:r>
      <w:r>
        <w:t xml:space="preserve"> </w:t>
      </w:r>
      <w:r>
        <w:t xml:space="preserve">“</w:t>
      </w:r>
      <w:r>
        <w:t xml:space="preserve">hummingbird curvature</w:t>
      </w:r>
      <w:r>
        <w:t xml:space="preserve">”</w:t>
      </w:r>
      <w:r>
        <w:t xml:space="preserve">. Results are summarized in Table 1. 25 studies of hummingbird-plant systems were found using some form of curvature metric (Table 1). An additional 10 studies of other plant, insect, and passerine bird systems were found (Table S1). There were numerous studies of plant-pollinator shape that did not address curvature - these were omitted.</w:t>
      </w:r>
    </w:p>
    <w:p>
      <w:pPr>
        <w:pStyle w:val="BodyText"/>
      </w:pPr>
      <w:r>
        <w:t xml:space="preserve">WHERE DO THESE METHODS COME FROM? DO THEY CITE A MATHEMATICAL SOURCE?</w:t>
      </w:r>
      <w:r>
        <w:t xml:space="preserve"> </w:t>
      </w:r>
      <w:r>
        <w:t xml:space="preserve">SEE PATON AND COLLINS 1989 for lots more refs</w:t>
      </w:r>
      <w:r>
        <w:t xml:space="preserve"> </w:t>
      </w: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Stiles</w:t>
      </w:r>
      <w:r>
        <w:t xml:space="preserve"> </w:t>
      </w:r>
      <w:r>
        <w:t xml:space="preserve">(</w:t>
      </w:r>
      <w:hyperlink w:anchor="ref-stiles_1975">
        <w:r>
          <w:rPr>
            <w:rStyle w:val="Hyperlink"/>
          </w:rPr>
          <w:t xml:space="preserve">1975</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3">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4">
        <w:r>
          <w:rPr>
            <w:rStyle w:val="Hyperlink"/>
          </w:rPr>
          <w:t xml:space="preserve">Figure S1</w:t>
        </w:r>
      </w:hyperlink>
      <w:r>
        <w:t xml:space="preserve">. Sixth, geometric morphometrics, which quantifies shape as a configuration of homologous points (landmarks) existing on a coordinate plane (</w:t>
      </w:r>
      <w:hyperlink r:id="rId25">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encountered with these methods is that the terminology surrounding them is inconsistent between authors. This likely stems from not citing the mathematical literature from which the methods were borrowed.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Most studies define their own terms for measuring curvature without reference to previous studies that have done the same, the result is a lexicon with many inconsistencies.</w:t>
      </w:r>
    </w:p>
    <w:p>
      <w:pPr>
        <w:pStyle w:val="BodyText"/>
      </w:pPr>
      <w:r>
        <w:t xml:space="preserve">Starting in 2010, geometric morphometrics (GM) emerges in the pollination literature. GM has since steadily gained in popularity in this field due to its statistical rigour, reproducibility, and the intuitive visual results presented as transformations of shape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authoritative introduction to the topic written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must first be optimally aligned and their shape information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Heading4"/>
      </w:pPr>
      <w:bookmarkStart w:id="26" w:name="what-is-curvature"/>
      <w:r>
        <w:t xml:space="preserve">3. What is curvature?</w:t>
      </w:r>
      <w:bookmarkEnd w:id="26"/>
    </w:p>
    <w:p>
      <w:pPr>
        <w:pStyle w:val="FirstParagraph"/>
      </w:pPr>
      <w:r>
        <w:t xml:space="preserve">Reviewing the literature leads us to ask,</w:t>
      </w:r>
      <w:r>
        <w:t xml:space="preserve"> </w:t>
      </w:r>
      <w:r>
        <w:t xml:space="preserve">“</w:t>
      </w:r>
      <w:r>
        <w:t xml:space="preserve">what is curvature?</w:t>
      </w:r>
      <w:r>
        <w:t xml:space="preserve">”</w:t>
      </w:r>
      <w:r>
        <w:t xml:space="preserve">. There exists several distinct but related definitions, resulting from a history of independent mathematical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In a two-dimensional, flat (Euclidian) space</w:t>
      </w:r>
      <w:r>
        <w:t xml:space="preserve"> </w:t>
      </w:r>
      <w:r>
        <w:t xml:space="preserve">(Heath,</w:t>
      </w:r>
      <w:r>
        <w:t xml:space="preserve"> </w:t>
      </w:r>
      <w:hyperlink w:anchor="ref-heath_1956">
        <w:r>
          <w:rPr>
            <w:rStyle w:val="Hyperlink"/>
          </w:rPr>
          <w:t xml:space="preserve">1956</w:t>
        </w:r>
      </w:hyperlink>
      <w:r>
        <w:t xml:space="preserve">)</w:t>
      </w:r>
      <w:r>
        <w:t xml:space="preserve">, a straight line is traced when a particle moves without changing direction. A curve is traced when a particle moves from its origin and does not maintain its original heading as it moves. At every step along its path, the particle has a measure of direction and speed. The degree to which the direction of a particle changes from one position to the next is its curvature (</w:t>
      </w:r>
      <w:hyperlink r:id="rId27">
        <w:r>
          <w:rPr>
            <w:rStyle w:val="Hyperlink"/>
          </w:rPr>
          <w:t xml:space="preserve">Figure 3</w:t>
        </w:r>
      </w:hyperlink>
      <w:r>
        <w:t xml:space="preserve">). Intuitively, a particle that traces a straight line will not change its direction and will have zero curvature. A particle that traces a turning line will have relatively greater curvature.</w:t>
      </w:r>
    </w:p>
    <w:p>
      <w:pPr>
        <w:pStyle w:val="Compact"/>
      </w:pPr>
      <w:r>
        <w:t xml:space="preserve">To formalize this concept of curvature, we begin by considering a curve parameterized by its arc length</w:t>
      </w:r>
      <w:r>
        <w:t xml:space="preserve"> </w:t>
      </w:r>
      <m:oMath>
        <m:r>
          <m:t>s</m:t>
        </m:r>
      </m:oMath>
      <w:r>
        <w:t xml:space="preserve"> </w:t>
      </w:r>
      <w:r>
        <w:t xml:space="preserve">(see Supp Mat for a primer on vector-valued functions):</w:t>
      </w:r>
    </w:p>
    <w:p>
      <w:pPr>
        <w:pStyle w:val="Compact"/>
      </w:pPr>
      <m:oMath>
        <m:bar>
          <m:barPr>
            <m:pos m:val="top"/>
          </m:barPr>
          <m:e>
            <m:r>
              <m:rPr>
                <m:sty m:val="b"/>
              </m:rPr>
              <m:t>r</m:t>
            </m:r>
          </m:e>
        </m:bar>
        <m:r>
          <m:t>(</m:t>
        </m:r>
        <m:r>
          <m:t>s</m:t>
        </m:r>
        <m:r>
          <m:t>)</m:t>
        </m:r>
        <m:r>
          <m:t>=</m:t>
        </m:r>
        <m:bar>
          <m:barPr>
            <m:pos m:val="top"/>
          </m:barPr>
          <m:e>
            <m:r>
              <m:t>x</m:t>
            </m:r>
          </m:e>
        </m:bar>
        <m:r>
          <m:t>(</m:t>
        </m:r>
        <m:r>
          <m:t>s</m:t>
        </m:r>
        <m:r>
          <m:t>)</m:t>
        </m:r>
        <m:r>
          <m:rPr>
            <m:sty m:val="b"/>
          </m:rPr>
          <m:t>i</m:t>
        </m:r>
        <m:r>
          <m:t>+</m:t>
        </m:r>
        <m:bar>
          <m:barPr>
            <m:pos m:val="top"/>
          </m:barPr>
          <m:e>
            <m:r>
              <m:t>y</m:t>
            </m:r>
          </m:e>
        </m:bar>
        <m:r>
          <m:t>(</m:t>
        </m:r>
        <m:r>
          <m:t>s</m:t>
        </m:r>
        <m:r>
          <m:t>)</m:t>
        </m:r>
        <m:r>
          <m:rPr>
            <m:sty m:val="b"/>
          </m:rPr>
          <m:t>j</m:t>
        </m:r>
      </m:oMath>
      <w:r>
        <w:t xml:space="preserve"> </w:t>
      </w:r>
      <w:r>
        <w:t xml:space="preserve">.</w:t>
      </w:r>
    </w:p>
    <w:p>
      <w:pPr>
        <w:pStyle w:val="BodyText"/>
      </w:pPr>
      <w:r>
        <w:t xml:space="preserve">Where</w:t>
      </w:r>
      <w:r>
        <w:t xml:space="preserve"> </w:t>
      </w:r>
      <m:oMath>
        <m:bar>
          <m:barPr>
            <m:pos m:val="top"/>
          </m:barPr>
          <m:e>
            <m:r>
              <m:rPr>
                <m:sty m:val="b"/>
              </m:rPr>
              <m:t>r</m:t>
            </m:r>
          </m:e>
        </m:bar>
        <m:r>
          <m:t>(</m:t>
        </m:r>
        <m:r>
          <m:t>s</m:t>
        </m:r>
        <m:r>
          <m:t>)</m:t>
        </m:r>
      </m:oMath>
      <w:r>
        <w:t xml:space="preserve"> </w:t>
      </w:r>
      <w:r>
        <w:t xml:space="preserve">indicates that the position vector</w:t>
      </w:r>
      <w:r>
        <w:t xml:space="preserve"> </w:t>
      </w:r>
      <m:oMath>
        <m:r>
          <m:rPr>
            <m:sty m:val="b"/>
          </m:rPr>
          <m:t>r</m:t>
        </m:r>
      </m:oMath>
      <w:r>
        <w:t xml:space="preserve"> </w:t>
      </w:r>
      <w:r>
        <w:t xml:space="preserve">is determined by its arc length</w:t>
      </w:r>
      <w:r>
        <w:t xml:space="preserve"> </w:t>
      </w:r>
      <m:oMath>
        <m:r>
          <m:t>s</m:t>
        </m:r>
      </m:oMath>
      <w:r>
        <w:t xml:space="preserve">.</w:t>
      </w:r>
      <w:r>
        <w:t xml:space="preserve"> </w:t>
      </w:r>
      <w:r>
        <w:t xml:space="preserve">When a curve is parameterized by its arc length, for every increment of</w:t>
      </w:r>
      <w:r>
        <w:t xml:space="preserve"> </w:t>
      </w:r>
      <m:oMath>
        <m:r>
          <m:t>s</m:t>
        </m:r>
      </m:oMath>
      <w:r>
        <w:t xml:space="preserve"> </w:t>
      </w:r>
      <w:r>
        <w:t xml:space="preserve">that we move along the curve (</w:t>
      </w:r>
      <m:oMath>
        <m:r>
          <m:t>d</m:t>
        </m:r>
        <m:r>
          <m:t>s</m:t>
        </m:r>
      </m:oMath>
      <w:r>
        <w:t xml:space="preserve">), we generate a position vector</w:t>
      </w:r>
      <w:r>
        <w:t xml:space="preserve"> </w:t>
      </w:r>
      <m:oMath>
        <m:r>
          <m:rPr>
            <m:sty m:val="b"/>
          </m:rPr>
          <m:t>r</m:t>
        </m:r>
      </m:oMath>
      <w:r>
        <w:t xml:space="preserve"> </w:t>
      </w:r>
      <w:r>
        <w:t xml:space="preserve">indicating the</w:t>
      </w:r>
      <w:r>
        <w:t xml:space="preserve"> </w:t>
      </w:r>
      <m:oMath>
        <m:r>
          <m:t>(</m:t>
        </m:r>
        <m:r>
          <m:t>x</m:t>
        </m:r>
        <m:r>
          <m:t>,</m:t>
        </m:r>
        <m:r>
          <m:t>y</m:t>
        </m:r>
        <m:r>
          <m:t>)</m:t>
        </m:r>
      </m:oMath>
      <w:r>
        <w:t xml:space="preserve"> </w:t>
      </w:r>
      <w:r>
        <w:t xml:space="preserve">location in the coordinate plane.</w:t>
      </w:r>
    </w:p>
    <w:p>
      <w:pPr>
        <w:pStyle w:val="Compact"/>
      </w:pPr>
      <w:r>
        <w:t xml:space="preserve">If we are interested in the derivative properties of a vector-valued function, we can differentiate a position vector</w:t>
      </w:r>
      <w:r>
        <w:t xml:space="preserve"> </w:t>
      </w:r>
      <m:oMath>
        <m:r>
          <m:rPr>
            <m:sty m:val="b"/>
          </m:rPr>
          <m:t>r</m:t>
        </m:r>
      </m:oMath>
      <w:r>
        <w:t xml:space="preserve"> </w:t>
      </w:r>
      <w:r>
        <w:t xml:space="preserve">with respect to arc length</w:t>
      </w:r>
      <w:r>
        <w:t xml:space="preserve"> </w:t>
      </w:r>
      <m:oMath>
        <m:r>
          <m:t>s</m:t>
        </m:r>
      </m:oMath>
      <w:r>
        <w:t xml:space="preserve"> </w:t>
      </w:r>
      <w:r>
        <w:t xml:space="preserve">as</w:t>
      </w:r>
    </w:p>
    <w:p>
      <w:pPr>
        <w:pStyle w:val="Compact"/>
      </w:pPr>
      <m:oMath>
        <m:f>
          <m:fPr>
            <m:type m:val="bar"/>
          </m:fPr>
          <m:num>
            <m:r>
              <m:t>d</m:t>
            </m:r>
            <m:r>
              <m:rPr>
                <m:sty m:val="b"/>
              </m:rPr>
              <m:t>r</m:t>
            </m:r>
          </m:num>
          <m:den>
            <m:r>
              <m:t>d</m:t>
            </m:r>
            <m:r>
              <m:t>s</m:t>
            </m:r>
          </m:den>
        </m:f>
        <m:r>
          <m:t>=</m:t>
        </m:r>
        <m:limLow>
          <m:e>
            <m:r>
              <m:rPr>
                <m:sty m:val="p"/>
              </m:rPr>
              <m:t>lim</m:t>
            </m:r>
          </m:e>
          <m:lim>
            <m:r>
              <m:t>Δ</m:t>
            </m:r>
            <m:r>
              <m:t>s</m:t>
            </m:r>
            <m:r>
              <m:t>→</m:t>
            </m:r>
            <m:r>
              <m:t>0</m:t>
            </m:r>
          </m:lim>
        </m:limLow>
        <m:f>
          <m:fPr>
            <m:type m:val="bar"/>
          </m:fPr>
          <m:num>
            <m:r>
              <m:t>Δ</m:t>
            </m:r>
            <m:r>
              <m:rPr>
                <m:sty m:val="b"/>
              </m:rPr>
              <m:t>r</m:t>
            </m:r>
          </m:num>
          <m:den>
            <m:r>
              <m:t>Δ</m:t>
            </m:r>
            <m:r>
              <m:t>s</m:t>
            </m:r>
          </m:den>
        </m:f>
        <m:r>
          <m:t>=</m:t>
        </m:r>
        <m:r>
          <m:rPr>
            <m:sty m:val="b"/>
          </m:rPr>
          <m:t>T</m:t>
        </m:r>
      </m:oMath>
      <w:r>
        <w:t xml:space="preserve"> </w:t>
      </w:r>
      <w:r>
        <w:t xml:space="preserve">.</w:t>
      </w:r>
    </w:p>
    <w:p>
      <w:pPr>
        <w:pStyle w:val="BodyText"/>
      </w:pPr>
      <w:r>
        <w:t xml:space="preserve">The resultant tangent vector</w:t>
      </w:r>
      <w:r>
        <w:t xml:space="preserve"> </w:t>
      </w:r>
      <m:oMath>
        <m:r>
          <m:rPr>
            <m:sty m:val="b"/>
          </m:rPr>
          <m:t>T</m:t>
        </m:r>
      </m:oMath>
      <w:r>
        <w:t xml:space="preserve"> </w:t>
      </w:r>
      <w:r>
        <w:t xml:space="preserve">not only indicates the direction of the curve at position</w:t>
      </w:r>
      <w:r>
        <w:t xml:space="preserve"> </w:t>
      </w:r>
      <m:oMath>
        <m:r>
          <m:rPr>
            <m:sty m:val="b"/>
          </m:rPr>
          <m:t>r</m:t>
        </m:r>
        <m:r>
          <m:t>(</m:t>
        </m:r>
        <m:r>
          <m:t>s</m:t>
        </m:r>
        <m:r>
          <m:t>)</m:t>
        </m:r>
      </m:oMath>
      <w:r>
        <w:t xml:space="preserve"> </w:t>
      </w:r>
      <w:r>
        <w:t xml:space="preserve">but also has a length of 1. This is because as</w:t>
      </w:r>
      <w:r>
        <w:t xml:space="preserve"> </w:t>
      </w:r>
      <m:oMath>
        <m:r>
          <m:t>Δ</m:t>
        </m:r>
        <m:r>
          <m:t>s</m:t>
        </m:r>
        <m:r>
          <m:t>→</m:t>
        </m:r>
        <m:r>
          <m:t>0</m:t>
        </m:r>
      </m:oMath>
      <w:r>
        <w:t xml:space="preserve">, the length of the tangent vector (</w:t>
      </w:r>
      <m:oMath>
        <m:r>
          <m:t>d</m:t>
        </m:r>
        <m:r>
          <m:rPr>
            <m:sty m:val="b"/>
          </m:rPr>
          <m:t>r</m:t>
        </m:r>
      </m:oMath>
      <w:r>
        <w:t xml:space="preserve">) and the length of the arc segment (</w:t>
      </w:r>
      <m:oMath>
        <m:r>
          <m:t>d</m:t>
        </m:r>
        <m:r>
          <m:t>s</m:t>
        </m:r>
      </m:oMath>
      <w:r>
        <w:t xml:space="preserve">) become equal. In this case, the tangent vector is called the</w:t>
      </w:r>
      <w:r>
        <w:t xml:space="preserve"> </w:t>
      </w:r>
      <w:r>
        <w:rPr>
          <w:i/>
        </w:rPr>
        <w:t xml:space="preserve">unit tangent vector</w:t>
      </w:r>
      <w:r>
        <w:t xml:space="preserve">.</w:t>
      </w:r>
    </w:p>
    <w:p>
      <w:pPr>
        <w:pStyle w:val="Compact"/>
      </w:pPr>
      <w:r>
        <w:t xml:space="preserve">At the beginning of this section we defined curvature (</w:t>
      </w:r>
      <m:oMath>
        <m:r>
          <m:t>K</m:t>
        </m:r>
      </m:oMath>
      <w:r>
        <w:t xml:space="preserve">) as the degree to which the direction of a particle changes from one position to the next. More formally this could be stated as</w:t>
      </w:r>
      <w:r>
        <w:t xml:space="preserve"> </w:t>
      </w:r>
      <w:r>
        <w:rPr>
          <w:i/>
        </w:rPr>
        <w:t xml:space="preserve">the degree to which the direction of the unit tangent vector changes with respect to arc length</w:t>
      </w:r>
      <w:r>
        <w:t xml:space="preserve">. By</w:t>
      </w:r>
      <w:r>
        <w:t xml:space="preserve"> </w:t>
      </w:r>
      <w:r>
        <w:t xml:space="preserve">“</w:t>
      </w:r>
      <w:r>
        <w:t xml:space="preserve">degree</w:t>
      </w:r>
      <w:r>
        <w:t xml:space="preserve">”</w:t>
      </w:r>
      <w:r>
        <w:t xml:space="preserve"> </w:t>
      </w:r>
      <w:r>
        <w:t xml:space="preserve">we mean the angle</w:t>
      </w:r>
      <w:r>
        <w:t xml:space="preserve"> </w:t>
      </w:r>
      <m:oMath>
        <m:r>
          <m:t>ϕ</m:t>
        </m:r>
      </m:oMath>
      <w:r>
        <w:t xml:space="preserve"> </w:t>
      </w:r>
      <w:r>
        <w:t xml:space="preserve">formed between the tangent vector and the</w:t>
      </w:r>
      <w:r>
        <w:t xml:space="preserve"> </w:t>
      </w:r>
      <m:oMath>
        <m:r>
          <m:t>x</m:t>
        </m:r>
      </m:oMath>
      <w:r>
        <w:t xml:space="preserve">-axis or some other arbitrary reference (</w:t>
      </w:r>
      <w:hyperlink r:id="rId28">
        <w:r>
          <w:rPr>
            <w:rStyle w:val="Hyperlink"/>
          </w:rPr>
          <w:t xml:space="preserve">Figure 3</w:t>
        </w:r>
      </w:hyperlink>
      <w:r>
        <w:t xml:space="preserve">).</w:t>
      </w:r>
    </w:p>
    <w:p>
      <w:pPr>
        <w:pStyle w:val="Compact"/>
      </w:pPr>
      <m:oMath>
        <m:r>
          <m:t>K</m:t>
        </m:r>
        <m:r>
          <m:t>=</m:t>
        </m:r>
        <m:f>
          <m:fPr>
            <m:type m:val="bar"/>
          </m:fPr>
          <m:num>
            <m:r>
              <m:t>d</m:t>
            </m:r>
            <m:r>
              <m:t>ϕ</m:t>
            </m:r>
          </m:num>
          <m:den>
            <m:r>
              <m:t>d</m:t>
            </m:r>
            <m:r>
              <m:t>s</m:t>
            </m:r>
          </m:den>
        </m:f>
      </m:oMath>
      <w:r>
        <w:t xml:space="preserve">.</w:t>
      </w:r>
    </w:p>
    <w:p>
      <w:pPr>
        <w:pStyle w:val="BodyText"/>
      </w:pPr>
      <w:r>
        <w:t xml:space="preserve">Although the unit tangent vector does not have an intrinsic direction, when placed into a cartesian plane we take its direction to be the angle formed with the</w:t>
      </w:r>
      <w:r>
        <w:t xml:space="preserve"> </w:t>
      </w:r>
      <m:oMath>
        <m:r>
          <m:t>x</m:t>
        </m:r>
      </m:oMath>
      <w:r>
        <w:t xml:space="preserve">-axis. Therefore the curvature of a point is its angle per unit arc length, e.g. </w:t>
      </w:r>
      <m:oMath>
        <m:f>
          <m:fPr>
            <m:type m:val="bar"/>
          </m:fPr>
          <m:num>
            <m:r>
              <m:t>ϕ</m:t>
            </m:r>
          </m:num>
          <m:den>
            <m:r>
              <m:t>m</m:t>
            </m:r>
            <m:r>
              <m:t>m</m:t>
            </m:r>
          </m:den>
        </m:f>
      </m:oMath>
      <w:r>
        <w:t xml:space="preserve"> </w:t>
      </w:r>
      <w:r>
        <w:t xml:space="preserve">if arc length has been measured in millimeters.</w:t>
      </w:r>
    </w:p>
    <w:p>
      <w:pPr>
        <w:pStyle w:val="CaptionedFigure"/>
      </w:pPr>
      <w:r>
        <w:drawing>
          <wp:inline>
            <wp:extent cx="5943600" cy="3343275"/>
            <wp:effectExtent b="0" l="0" r="0" t="0"/>
            <wp:docPr descr="Figure 4. Illustrations of vectors. Left: On the x and y axis are the unit vectors i and j, respectively, of length 1. The point P = (2,1) can be rewritten as a position vector r, that is made of two i unit vectors and one j unit vector, r = 2i + j. The length of r is ||r|| = sqrt 2^2 + 1^2. Right: A vector valued function describing a curve, parameterized by arc length." title="" id="1" name="Picture"/>
            <a:graphic>
              <a:graphicData uri="http://schemas.openxmlformats.org/drawingml/2006/picture">
                <pic:pic>
                  <pic:nvPicPr>
                    <pic:cNvPr descr="Figures/Figure_4.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Illustrations of vectors. Left: On the x and y axis are the unit vectors i and j, respectively, of length 1. The point P = (2,1) can be rewritten as a position vector r, that is made of two i unit vectors and one j unit vector, r = 2i + j. The length of r is ||r|| = sqrt 2^2 + 1^2. Right: A vector valued function describing a curve, parameterized by arc length.</w:t>
      </w:r>
    </w:p>
    <w:p>
      <w:pPr>
        <w:pStyle w:val="Heading4"/>
      </w:pPr>
      <w:bookmarkStart w:id="30" w:name="X4c9b8b8142f99b54ba92ec3dabe5c3262370a08"/>
      <w:r>
        <w:t xml:space="preserve">4. A proposed protocol for measuring curvature</w:t>
      </w:r>
      <w:bookmarkEnd w:id="30"/>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these measurements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27">
        <w:r>
          <w:rPr>
            <w:rStyle w:val="Hyperlink"/>
          </w:rPr>
          <w:t xml:space="preserve">Figure 3</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extensively in pollination ecology, but has not yet been leveraged to calculate curvature (</w:t>
      </w:r>
      <w:hyperlink r:id="rId31">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 (Figure 3)</w:t>
      </w:r>
    </w:p>
    <w:p>
      <w:pPr>
        <w:pStyle w:val="CaptionedFigure"/>
      </w:pPr>
      <w:r>
        <w:drawing>
          <wp:inline>
            <wp:extent cx="5943600" cy="3343275"/>
            <wp:effectExtent b="0" l="0" r="0" t="0"/>
            <wp:docPr descr="Figure 3: Proposed protocol for measuring curvature. 1. A petal of Epimedium violaceum is landmarked and rotated. 2. A polynomial curve is fitted to the landmarks. 3. Curvature is calculated as the rate of change of the tangent vector at every point along the curve." title="" id="1" name="Picture"/>
            <a:graphic>
              <a:graphicData uri="http://schemas.openxmlformats.org/drawingml/2006/picture">
                <pic:pic>
                  <pic:nvPicPr>
                    <pic:cNvPr descr="Figures/Figure_3.jpg" id="0" name="Picture"/>
                    <pic:cNvPicPr>
                      <a:picLocks noChangeArrowheads="1" noChangeAspect="1"/>
                    </pic:cNvPicPr>
                  </pic:nvPicPr>
                  <pic:blipFill>
                    <a:blip r:embed="rId3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petal of Epimedium violaceum is landmarked and rotated. 2. A polynomial curve is fitted to the landmarks. 3. Curvature is calculated as the rate of change of the tangent vector at every point along the curve.</w:t>
      </w:r>
    </w:p>
    <w:p>
      <w:pPr>
        <w:pStyle w:val="BodyText"/>
      </w:pPr>
      <w:r>
        <w:t xml:space="preserve">Comment on why using the simplest case (polynomials) and not splines, fourier, etc.</w:t>
      </w:r>
    </w:p>
    <w:p>
      <w:pPr>
        <w:pStyle w:val="Heading4"/>
      </w:pPr>
      <w:bookmarkStart w:id="33" w:name="Xe98c6fd457a4c76973c7232e837f8a2ed19fd3d"/>
      <w:r>
        <w:t xml:space="preserve">5. Proof of concept: A study of the development of curvature in</w:t>
      </w:r>
      <w:r>
        <w:t xml:space="preserve"> </w:t>
      </w:r>
      <w:r>
        <w:rPr>
          <w:i/>
        </w:rPr>
        <w:t xml:space="preserve">Epimedium</w:t>
      </w:r>
      <w:bookmarkEnd w:id="33"/>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 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Because the second set of flowers were sampled opportunistically after the developmental study, age was inferred by outer sepal size. First, the developmental data was used to model size and age as a logistic function using the `</w:t>
      </w:r>
      <w:r>
        <w:rPr>
          <w:rStyle w:val="VerbatimChar"/>
        </w:rPr>
        <w:t xml:space="preserve">drc</w:t>
      </w:r>
      <w:r>
        <w:t xml:space="preserve"> </w:t>
      </w:r>
      <w:r>
        <w:t xml:space="preserve">v.3.0.1 package in R</w:t>
      </w:r>
      <w:r>
        <w:t xml:space="preserve"> </w:t>
      </w:r>
      <w:r>
        <w:t xml:space="preserve">(Ritz et al.,</w:t>
      </w:r>
      <w:r>
        <w:t xml:space="preserve"> </w:t>
      </w:r>
      <w:hyperlink w:anchor="ref-ritz_2015">
        <w:r>
          <w:rPr>
            <w:rStyle w:val="Hyperlink"/>
          </w:rPr>
          <w:t xml:space="preserve">2015</w:t>
        </w:r>
      </w:hyperlink>
      <w:r>
        <w:t xml:space="preserve">)</w:t>
      </w:r>
      <w:r>
        <w:t xml:space="preserve">. Then, age was inferred for the curvature data by inputing size information into the logistic model.</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4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4"/>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4295775" cy="3419475"/>
            <wp:effectExtent b="0" l="0" r="0" t="0"/>
            <wp:docPr descr="Figure 6: Days elapsed per stage in E. grandiflorum" title="" id="1" name="Picture"/>
            <a:graphic>
              <a:graphicData uri="http://schemas.openxmlformats.org/drawingml/2006/picture">
                <pic:pic>
                  <pic:nvPicPr>
                    <pic:cNvPr descr="Figures/stageVSelapsedDays-grandiflorum.jpeg" id="0" name="Picture"/>
                    <pic:cNvPicPr>
                      <a:picLocks noChangeArrowheads="1" noChangeAspect="1"/>
                    </pic:cNvPicPr>
                  </pic:nvPicPr>
                  <pic:blipFill>
                    <a:blip r:embed="rId35"/>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6: Days elapsed per stage in E. grandiflorum</w:t>
      </w:r>
    </w:p>
    <w:p>
      <w:pPr>
        <w:pStyle w:val="CaptionedFigure"/>
      </w:pPr>
      <w:r>
        <w:drawing>
          <wp:inline>
            <wp:extent cx="4295775" cy="3419475"/>
            <wp:effectExtent b="0" l="0" r="0" t="0"/>
            <wp:docPr descr="Figure 7: Days elapsed per stage in E. koreanum" title="" id="1" name="Picture"/>
            <a:graphic>
              <a:graphicData uri="http://schemas.openxmlformats.org/drawingml/2006/picture">
                <pic:pic>
                  <pic:nvPicPr>
                    <pic:cNvPr descr="Figures/stageVSelapsedDays-koreanum.jpeg" id="0" name="Picture"/>
                    <pic:cNvPicPr>
                      <a:picLocks noChangeArrowheads="1" noChangeAspect="1"/>
                    </pic:cNvPicPr>
                  </pic:nvPicPr>
                  <pic:blipFill>
                    <a:blip r:embed="rId36"/>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7: Days elapsed per stage in E. koreanum</w:t>
      </w:r>
    </w:p>
    <w:p>
      <w:pPr>
        <w:pStyle w:val="CaptionedFigure"/>
      </w:pPr>
      <w:r>
        <w:drawing>
          <wp:inline>
            <wp:extent cx="4295775" cy="3419475"/>
            <wp:effectExtent b="0" l="0" r="0" t="0"/>
            <wp:docPr descr="Figure 8: Days elapsed per stage in E. violaceum" title="" id="1" name="Picture"/>
            <a:graphic>
              <a:graphicData uri="http://schemas.openxmlformats.org/drawingml/2006/picture">
                <pic:pic>
                  <pic:nvPicPr>
                    <pic:cNvPr descr="Figures/stageVSelapsedDays-violaceum.jpeg" id="0" name="Picture"/>
                    <pic:cNvPicPr>
                      <a:picLocks noChangeArrowheads="1" noChangeAspect="1"/>
                    </pic:cNvPicPr>
                  </pic:nvPicPr>
                  <pic:blipFill>
                    <a:blip r:embed="rId37"/>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8: Days elapsed per stage in E. violaceum</w:t>
      </w:r>
    </w:p>
    <w:p>
      <w:pPr>
        <w:pStyle w:val="CaptionedFigure"/>
      </w:pPr>
      <w:r>
        <w:drawing>
          <wp:inline>
            <wp:extent cx="5943600" cy="2133752"/>
            <wp:effectExtent b="0" l="0" r="0" t="0"/>
            <wp:docPr descr="Figure 9: Logistic growth of Epimedium flowers" title="" id="1" name="Picture"/>
            <a:graphic>
              <a:graphicData uri="http://schemas.openxmlformats.org/drawingml/2006/picture">
                <pic:pic>
                  <pic:nvPicPr>
                    <pic:cNvPr descr="Figures/size_vs_days.jpeg" id="0" name="Picture"/>
                    <pic:cNvPicPr>
                      <a:picLocks noChangeArrowheads="1" noChangeAspect="1"/>
                    </pic:cNvPicPr>
                  </pic:nvPicPr>
                  <pic:blipFill>
                    <a:blip r:embed="rId38"/>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9: Logistic growth of Epimedium flowers</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0: size vs curvature" title="" id="1" name="Picture"/>
            <a:graphic>
              <a:graphicData uri="http://schemas.openxmlformats.org/drawingml/2006/picture">
                <pic:pic>
                  <pic:nvPicPr>
                    <pic:cNvPr descr="Figures/size_vs_curv.jpeg" id="0" name="Picture"/>
                    <pic:cNvPicPr>
                      <a:picLocks noChangeArrowheads="1" noChangeAspect="1"/>
                    </pic:cNvPicPr>
                  </pic:nvPicPr>
                  <pic:blipFill>
                    <a:blip r:embed="rId3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10: size vs curvature</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1: elapsed days vs curvature" title="" id="1" name="Picture"/>
            <a:graphic>
              <a:graphicData uri="http://schemas.openxmlformats.org/drawingml/2006/picture">
                <pic:pic>
                  <pic:nvPicPr>
                    <pic:cNvPr descr="Figures/days_vs_curv.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11: elapsed days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Maglianesi et al. (</w:t>
            </w:r>
            <w:hyperlink w:anchor="ref-maglianesi_2015">
              <w:r>
                <w:rPr>
                  <w:rStyle w:val="Hyperlink"/>
                </w:rPr>
                <w:t xml:space="preserve">2015</w:t>
              </w:r>
            </w:hyperlink>
            <w:hyperlink w:anchor="ref-maglianesi_2015">
              <w:r>
                <w:rPr>
                  <w:rStyle w:val="Hyperlink"/>
                </w:rPr>
                <w:t xml:space="preserve">a</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6">
              <w:r>
                <w:rPr>
                  <w:rStyle w:val="Hyperlink"/>
                </w:rPr>
                <w:t xml:space="preserve">2015</w:t>
              </w:r>
            </w:hyperlink>
            <w:hyperlink w:anchor="ref-maglianesi_2016">
              <w:r>
                <w:rPr>
                  <w:rStyle w:val="Hyperlink"/>
                </w:rPr>
                <w:t xml:space="preserve">b</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w:t>
            </w:r>
          </w:p>
        </w:tc>
      </w:tr>
    </w:tbl>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BodyText"/>
      </w:pPr>
    </w:p>
    <w:p>
      <w:pPr>
        <w:pStyle w:val="TableCaption"/>
      </w:pPr>
      <w:r>
        <w:t xml:space="preserve">Table S1: Additional studies of curvature outside of hummingbird pollination</w:t>
      </w:r>
    </w:p>
    <w:tbl>
      <w:tblPr>
        <w:tblStyle w:val="Table"/>
        <w:tblW w:type="pct" w:w="0.0"/>
        <w:tblLook w:firstRow="1"/>
        <w:tblCaption w:val="Table S1: Additional studies of curvature outside of hummingbird pollination"/>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Hamilton 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Kawabata et al 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Pour et al 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Dellinger et al 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 et al 2017</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Berger et al 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Alexandre et al 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 et al 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Travers et al 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Baldwin et al 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Dalayap et al 2011</w:t>
            </w:r>
          </w:p>
        </w:tc>
        <w:tc>
          <w:p>
            <w:pPr>
              <w:pStyle w:val="Compact"/>
              <w:jc w:val="left"/>
            </w:pPr>
            <w:r>
              <w:t xml:space="preserve">Petal, sepal, and labellum shapes in Mokara orchids</w:t>
            </w:r>
          </w:p>
        </w:tc>
        <w:tc>
          <w:p>
            <w:pPr>
              <w:pStyle w:val="Compact"/>
              <w:jc w:val="left"/>
            </w:pPr>
            <w:r>
              <w:t xml:space="preserve">Outline morphometrics</w:t>
            </w:r>
          </w:p>
        </w:tc>
      </w:tr>
    </w:tbl>
    <w:p>
      <w:pPr>
        <w:pStyle w:val="BodyText"/>
      </w:pPr>
    </w:p>
    <w:p>
      <w:pPr>
        <w:pStyle w:val="CaptionedFigure"/>
      </w:pPr>
      <w:r>
        <w:drawing>
          <wp:inline>
            <wp:extent cx="5943600" cy="3343275"/>
            <wp:effectExtent b="0" l="0" r="0" t="0"/>
            <wp:docPr descr="Figure S1: Demonstration that the ‘inverse radius’ and ‘angle of deflection’ methods are equivalent." title="" id="1" name="Picture"/>
            <a:graphic>
              <a:graphicData uri="http://schemas.openxmlformats.org/drawingml/2006/picture">
                <pic:pic>
                  <pic:nvPicPr>
                    <pic:cNvPr descr="Figures/Figure_S1.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w:t>
      </w:r>
      <w:r>
        <w:t xml:space="preserve"> </w:t>
      </w:r>
      <w:r>
        <w:t xml:space="preserve">‘</w:t>
      </w:r>
      <w:r>
        <w:t xml:space="preserve">inverse radius</w:t>
      </w:r>
      <w:r>
        <w:t xml:space="preserve">’</w:t>
      </w:r>
      <w:r>
        <w:t xml:space="preserve"> </w:t>
      </w:r>
      <w:r>
        <w:t xml:space="preserve">and</w:t>
      </w:r>
      <w:r>
        <w:t xml:space="preserve"> </w:t>
      </w:r>
      <w:r>
        <w:t xml:space="preserve">‘</w:t>
      </w:r>
      <w:r>
        <w:t xml:space="preserve">angle of deflection</w:t>
      </w:r>
      <w:r>
        <w:t xml:space="preserve">’</w:t>
      </w:r>
      <w:r>
        <w:t xml:space="preserve"> </w:t>
      </w:r>
      <w:r>
        <w:t xml:space="preserve">methods are equivalent.</w:t>
      </w:r>
    </w:p>
    <w:p>
      <w:pPr>
        <w:pStyle w:val="Heading1"/>
      </w:pPr>
      <w:bookmarkStart w:id="42" w:name="references"/>
      <w:r>
        <w:t xml:space="preserve">References</w:t>
      </w:r>
      <w:bookmarkEnd w:id="42"/>
    </w:p>
    <w:p>
      <w:pPr>
        <w:pStyle w:val="FirstParagraph"/>
      </w:pPr>
    </w:p>
    <w:bookmarkStart w:id="105" w:name="refs"/>
    <w:bookmarkStart w:id="43"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3"/>
    <w:bookmarkStart w:id="44"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4"/>
    <w:bookmarkStart w:id="45" w:name="ref-baldwin_1931"/>
    <w:p>
      <w:pPr>
        <w:pStyle w:val="Bibliography"/>
      </w:pPr>
      <w:r>
        <w:t xml:space="preserve">Baldwin, S.P., Oberholser, H.C., and Worley, L.G. (1931). Measurements of birds (Cleveland Museum of Natural History).</w:t>
      </w:r>
    </w:p>
    <w:bookmarkEnd w:id="45"/>
    <w:bookmarkStart w:id="46"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6"/>
    <w:bookmarkStart w:id="47" w:name="ref-bell_1956"/>
    <w:p>
      <w:pPr>
        <w:pStyle w:val="Bibliography"/>
      </w:pPr>
      <w:r>
        <w:t xml:space="preserve">Bell, J. (1956). 2619. Tangent, chord theorem. The Mathematical Gazette</w:t>
      </w:r>
      <w:r>
        <w:t xml:space="preserve"> </w:t>
      </w:r>
      <w:r>
        <w:rPr>
          <w:i/>
        </w:rPr>
        <w:t xml:space="preserve">40</w:t>
      </w:r>
      <w:r>
        <w:t xml:space="preserve">, 211–212.</w:t>
      </w:r>
    </w:p>
    <w:bookmarkEnd w:id="47"/>
    <w:bookmarkStart w:id="48"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8"/>
    <w:bookmarkStart w:id="49"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9"/>
    <w:bookmarkStart w:id="50"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0"/>
    <w:bookmarkStart w:id="51"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1"/>
    <w:bookmarkStart w:id="52" w:name="ref-borchers_2019"/>
    <w:p>
      <w:pPr>
        <w:pStyle w:val="Bibliography"/>
      </w:pPr>
      <w:r>
        <w:t xml:space="preserve">Borchers, H.W. (2019). Pracma: Practical numerical math functions. R package version 2.2.5.</w:t>
      </w:r>
    </w:p>
    <w:bookmarkEnd w:id="52"/>
    <w:bookmarkStart w:id="53"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3"/>
    <w:bookmarkStart w:id="54"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54"/>
    <w:bookmarkStart w:id="55" w:name="ref-casey_1996"/>
    <w:p>
      <w:pPr>
        <w:pStyle w:val="Bibliography"/>
      </w:pPr>
      <w:r>
        <w:t xml:space="preserve">Casey, J. (1996). Exploring curvature (Braunschweig, Germany: Friedr. Vieweg &amp; Sohn Verlagsgesellschaft mbH).</w:t>
      </w:r>
    </w:p>
    <w:bookmarkEnd w:id="55"/>
    <w:bookmarkStart w:id="56"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6"/>
    <w:bookmarkStart w:id="57"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57"/>
    <w:bookmarkStart w:id="58"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8"/>
    <w:bookmarkStart w:id="59"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9"/>
    <w:bookmarkStart w:id="60"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0"/>
    <w:bookmarkStart w:id="61"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1"/>
    <w:bookmarkStart w:id="62"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62"/>
    <w:bookmarkStart w:id="63"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3"/>
    <w:bookmarkStart w:id="64"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4"/>
    <w:bookmarkStart w:id="65"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5"/>
    <w:bookmarkStart w:id="66"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66"/>
    <w:bookmarkStart w:id="67"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7"/>
    <w:bookmarkStart w:id="68" w:name="ref-heath_1956"/>
    <w:p>
      <w:pPr>
        <w:pStyle w:val="Bibliography"/>
      </w:pPr>
      <w:r>
        <w:t xml:space="preserve">Heath, T.L. (1956). The thirteen books of euclid’s elements (Dover Publications, Inc.).</w:t>
      </w:r>
    </w:p>
    <w:bookmarkEnd w:id="68"/>
    <w:bookmarkStart w:id="69"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9"/>
    <w:bookmarkStart w:id="70"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70"/>
    <w:bookmarkStart w:id="71"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71"/>
    <w:bookmarkStart w:id="72"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72"/>
    <w:bookmarkStart w:id="73" w:name="ref-maglianesi_2015"/>
    <w:p>
      <w:pPr>
        <w:pStyle w:val="Bibliography"/>
      </w:pPr>
      <w:r>
        <w:t xml:space="preserve">Maglianesi, M.A., Böhning-Gaese, K., and Schleuning, M. (2015a).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73"/>
    <w:bookmarkStart w:id="74" w:name="ref-maglianesi_2016"/>
    <w:p>
      <w:pPr>
        <w:pStyle w:val="Bibliography"/>
      </w:pPr>
      <w:r>
        <w:t xml:space="preserve">Maglianesi, M.A., Blüthgen, N., Böhning-Gaese, K., and Schleuning, M. (2015b).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74"/>
    <w:bookmarkStart w:id="75"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75"/>
    <w:bookmarkStart w:id="76"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76"/>
    <w:bookmarkStart w:id="77" w:name="ref-minnaar_2019"/>
    <w:p>
      <w:pPr>
        <w:pStyle w:val="Bibliography"/>
      </w:pPr>
      <w:r>
        <w:t xml:space="preserve">Minnaar, C., Jager, M. de, and Anderson, B. (2019). Intraspecific divergence in floral-tube length promotes asymmetric pollen movement and reproductive isolation. New Phytologist.</w:t>
      </w:r>
    </w:p>
    <w:bookmarkEnd w:id="77"/>
    <w:bookmarkStart w:id="7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78"/>
    <w:bookmarkStart w:id="79"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79"/>
    <w:bookmarkStart w:id="80"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80"/>
    <w:bookmarkStart w:id="81"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81"/>
    <w:bookmarkStart w:id="82"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82"/>
    <w:bookmarkStart w:id="83" w:name="ref-ritz_2015"/>
    <w:p>
      <w:pPr>
        <w:pStyle w:val="Bibliography"/>
      </w:pPr>
      <w:r>
        <w:t xml:space="preserve">Ritz, C., Baty, F., Streibig, J.C., and Gerhard, D. (2015). Dose-response analysis using R. PloS One</w:t>
      </w:r>
      <w:r>
        <w:t xml:space="preserve"> </w:t>
      </w:r>
      <w:r>
        <w:rPr>
          <w:i/>
        </w:rPr>
        <w:t xml:space="preserve">10</w:t>
      </w:r>
      <w:r>
        <w:t xml:space="preserve">, e0146021.</w:t>
      </w:r>
    </w:p>
    <w:bookmarkEnd w:id="83"/>
    <w:bookmarkStart w:id="84" w:name="ref-robertson_1889"/>
    <w:p>
      <w:pPr>
        <w:pStyle w:val="Bibliography"/>
      </w:pPr>
      <w:r>
        <w:t xml:space="preserve">Robertson, C. (1889). Flowers and insects. II. Botanical Gazette</w:t>
      </w:r>
      <w:r>
        <w:t xml:space="preserve"> </w:t>
      </w:r>
      <w:r>
        <w:rPr>
          <w:i/>
        </w:rPr>
        <w:t xml:space="preserve">14</w:t>
      </w:r>
      <w:r>
        <w:t xml:space="preserve">, 172–178.</w:t>
      </w:r>
    </w:p>
    <w:bookmarkEnd w:id="84"/>
    <w:bookmarkStart w:id="85" w:name="ref-rohlf_2015"/>
    <w:p>
      <w:pPr>
        <w:pStyle w:val="Bibliography"/>
      </w:pPr>
      <w:r>
        <w:t xml:space="preserve">Rohlf, F.J. (2015). The tps series of software. Hystrix</w:t>
      </w:r>
      <w:r>
        <w:t xml:space="preserve"> </w:t>
      </w:r>
      <w:r>
        <w:rPr>
          <w:i/>
        </w:rPr>
        <w:t xml:space="preserve">26</w:t>
      </w:r>
      <w:r>
        <w:t xml:space="preserve">.</w:t>
      </w:r>
    </w:p>
    <w:bookmarkEnd w:id="85"/>
    <w:bookmarkStart w:id="86"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86"/>
    <w:bookmarkStart w:id="8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87"/>
    <w:bookmarkStart w:id="88" w:name="ref-rutter_2000"/>
    <w:p>
      <w:pPr>
        <w:pStyle w:val="Bibliography"/>
      </w:pPr>
      <w:r>
        <w:t xml:space="preserve">Rutter, J.W. (2000). Geometry of curves (Boca Raton, FL: CRC Press, Taylor; Francis Group).</w:t>
      </w:r>
    </w:p>
    <w:bookmarkEnd w:id="88"/>
    <w:bookmarkStart w:id="8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89"/>
    <w:bookmarkStart w:id="90"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90"/>
    <w:bookmarkStart w:id="91"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91"/>
    <w:bookmarkStart w:id="92"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92"/>
    <w:bookmarkStart w:id="93"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93"/>
    <w:bookmarkStart w:id="94" w:name="ref-stiles_1995"/>
    <w:p>
      <w:pPr>
        <w:pStyle w:val="Bibliography"/>
      </w:pPr>
      <w:r>
        <w:t xml:space="preserve">Stiles, F.G. (1995). Behavioral, ecological and morphological correlates of foraging for arthropods by the hummingbirds of a tropical wet forest. Condor 853–878.</w:t>
      </w:r>
    </w:p>
    <w:bookmarkEnd w:id="94"/>
    <w:bookmarkStart w:id="95"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95"/>
    <w:bookmarkStart w:id="96"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96"/>
    <w:bookmarkStart w:id="97"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97"/>
    <w:bookmarkStart w:id="98"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98"/>
    <w:bookmarkStart w:id="99"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99"/>
    <w:bookmarkStart w:id="100"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00"/>
    <w:bookmarkStart w:id="101"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01"/>
    <w:bookmarkStart w:id="102"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02"/>
    <w:bookmarkStart w:id="103"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03"/>
    <w:bookmarkStart w:id="104"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04"/>
    <w:bookmarkEnd w:id="105"/>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hyperlink" Id="rId28" Target="Figure_3.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27" Target="Figures/Figure_3.jpg" TargetMode="External" /><Relationship Type="http://schemas.openxmlformats.org/officeDocument/2006/relationships/hyperlink" Id="rId24" Target="Figures/Figure_S1.jpg" TargetMode="External" /><Relationship Type="http://schemas.openxmlformats.org/officeDocument/2006/relationships/hyperlink" Id="rId31"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8" Target="Figure_3.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27" Target="Figures/Figure_3.jpg" TargetMode="External" /><Relationship Type="http://schemas.openxmlformats.org/officeDocument/2006/relationships/hyperlink" Id="rId24" Target="Figures/Figure_S1.jpg" TargetMode="External" /><Relationship Type="http://schemas.openxmlformats.org/officeDocument/2006/relationships/hyperlink" Id="rId31"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2019-11-21T23:18:20Z</dcterms:created>
  <dcterms:modified xsi:type="dcterms:W3CDTF">2019-11-21T23:18:20Z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