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4.jpg" ContentType="image/jpeg"/>
  <Override PartName="/word/media/rId37.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add semilandmarks to figure S2</w:t>
      </w:r>
    </w:p>
    <w:p>
      <w:pPr>
        <w:pStyle w:val="Compact"/>
        <w:numPr>
          <w:numId w:val="1001"/>
          <w:ilvl w:val="0"/>
        </w:numPr>
      </w:pPr>
      <w:r>
        <w:t xml:space="preserve">Should i do a geomorph analysis here and then pair it with curvature data?</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w:t>
      </w:r>
    </w:p>
    <w:p>
      <w:pPr>
        <w:pStyle w:val="BodyText"/>
      </w:pPr>
      <w:r>
        <w:t xml:space="preserve"> </w:t>
      </w:r>
    </w:p>
    <w:p>
      <w:pPr>
        <w:pStyle w:val="Heading4"/>
      </w:pPr>
      <w:bookmarkStart w:id="22" w:name="abstract"/>
      <w:r>
        <w:t xml:space="preserve">Abstract</w:t>
      </w:r>
      <w:bookmarkEnd w:id="22"/>
    </w:p>
    <w:p>
      <w:pPr>
        <w:pStyle w:val="FirstParagraph"/>
      </w:pPr>
      <w:r>
        <w:t xml:space="preserve">The curvature of flowers and pollinator mouthparts (e.g. hummingbird bills) along the dorsiventral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dorsiventral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This is to say that</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the existing mathematical lexicon for studying line-curves.</w:t>
      </w:r>
    </w:p>
    <w:p>
      <w:pPr>
        <w:pStyle w:val="BodyText"/>
      </w:pPr>
      <w:r>
        <w:t xml:space="preserve"> </w:t>
      </w:r>
    </w:p>
    <w:p>
      <w:pPr>
        <w:pStyle w:val="Heading4"/>
      </w:pPr>
      <w:bookmarkStart w:id="23" w:name="Xd9574ba9fc8b8c8a16a91b089379ae145e5e489"/>
      <w:r>
        <w:t xml:space="preserve">1. The ecology of flower-pollinator curvature</w:t>
      </w:r>
      <w:bookmarkEnd w:id="23"/>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nectar spurs might rapidly develop within the bud for phenological reasons, and following bud opening, exhibit some degree of curvature at maturity. Consequently, like floral tube length (e.g. </w:t>
      </w:r>
      <w:r>
        <w:t xml:space="preserve">(Nilsson,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thus improving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w:t>
      </w:r>
      <w:r>
        <w:t xml:space="preserve">. A further consequence of floral curvature is pollintaor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plant-hummingbird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the neotropical subfamily Phaethornithinae comprises the majority of hummingbird species with curved bills, we might expect plant-hummingbird curvature to have a predictable global distribution.</w:t>
      </w:r>
    </w:p>
    <w:p>
      <w:pPr>
        <w:pStyle w:val="BodyText"/>
      </w:pPr>
      <w:r>
        <w:t xml:space="preserve">Other taxa:</w:t>
      </w:r>
      <w:r>
        <w:t xml:space="preserve"> </w:t>
      </w:r>
      <w:r>
        <w:t xml:space="preserve">* Curvature and niche partitioning:</w:t>
      </w:r>
      <w:r>
        <w:t xml:space="preserve"> </w:t>
      </w:r>
      <w:r>
        <w:t xml:space="preserve">* evidence that curvature is correlated with a shift from insectivory to nectivory in hawaiin honeycreepers</w:t>
      </w:r>
      <w:r>
        <w:t xml:space="preserve"> </w:t>
      </w:r>
      <w:r>
        <w:t xml:space="preserve">(Carothers,</w:t>
      </w:r>
      <w:r>
        <w:t xml:space="preserve"> </w:t>
      </w:r>
      <w:hyperlink w:anchor="ref-carothers_1982">
        <w:r>
          <w:rPr>
            <w:rStyle w:val="Hyperlink"/>
          </w:rPr>
          <w:t xml:space="preserve">1982</w:t>
        </w:r>
      </w:hyperlink>
      <w:r>
        <w:t xml:space="preserve">)</w:t>
      </w:r>
      <w:r>
        <w:t xml:space="preserve">.</w:t>
      </w:r>
      <w:r>
        <w:t xml:space="preserve"> </w:t>
      </w:r>
      <w:r>
        <w:t xml:space="preserve">* honeyeaters take longer to feed and intake less nectar on experimentally curved flowers</w:t>
      </w:r>
      <w:r>
        <w:t xml:space="preserve"> </w:t>
      </w:r>
      <w:r>
        <w:t xml:space="preserve">(Collins,</w:t>
      </w:r>
      <w:r>
        <w:t xml:space="preserve"> </w:t>
      </w:r>
      <w:hyperlink w:anchor="ref-collins_2008">
        <w:r>
          <w:rPr>
            <w:rStyle w:val="Hyperlink"/>
          </w:rPr>
          <w:t xml:space="preserve">2008</w:t>
        </w:r>
      </w:hyperlink>
      <w:r>
        <w:t xml:space="preserve">)</w:t>
      </w:r>
      <w:r>
        <w:t xml:space="preserve"> </w:t>
      </w:r>
      <w:r>
        <w:t xml:space="preserve">* aussie honeyeaters with curved bills tend to be small nectivores and aerial insectivores rather than stout-billed ground foragers.</w:t>
      </w:r>
      <w:r>
        <w:t xml:space="preserve"> </w:t>
      </w:r>
      <w:r>
        <w:t xml:space="preserve">* see: wolf 1972 (Science), 1975 (Ecology)</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BodyText"/>
      </w:pPr>
      <w:r>
        <w:t xml:space="preserve"> </w:t>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44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5">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 Sixth, geometric morphometrics, which quantifies shape as a configuration of homologous points (landmarks) existing on a coordinate plane (</w:t>
      </w:r>
      <w:hyperlink r:id="rId27">
        <w:r>
          <w:rPr>
            <w:rStyle w:val="Hyperlink"/>
          </w:rPr>
          <w:t xml:space="preserve">Figure 2</w:t>
        </w:r>
      </w:hyperlink>
      <w:r>
        <w:t xml:space="preserve">).</w:t>
      </w:r>
    </w:p>
    <w:p>
      <w:pPr>
        <w:pStyle w:val="BodyText"/>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 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highlight some of the broad concepts in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r>
        <w:t xml:space="preserve"> </w:t>
      </w:r>
    </w:p>
    <w:p>
      <w:pPr>
        <w:pStyle w:val="Heading4"/>
      </w:pPr>
      <w:bookmarkStart w:id="30" w:name="what-is-curvature"/>
      <w:r>
        <w:t xml:space="preserve">3. What is curvature?</w:t>
      </w:r>
      <w:bookmarkEnd w:id="30"/>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31">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1">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2">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3">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4"/>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pPr>
        <w:pStyle w:val="BodyText"/>
      </w:pPr>
      <w:r>
        <w:t xml:space="preserve"> </w:t>
      </w:r>
    </w:p>
    <w:p>
      <w:pPr>
        <w:pStyle w:val="Heading4"/>
      </w:pPr>
      <w:bookmarkStart w:id="35" w:name="X4c9b8b8142f99b54ba92ec3dabe5c3262370a08"/>
      <w:r>
        <w:t xml:space="preserve">4. A proposed protocol for measuring curvature</w:t>
      </w:r>
      <w:bookmarkEnd w:id="35"/>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6">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exisiting morphometric tools for landmarking and curve-fitting - these were developed in the</w:t>
      </w:r>
      <w:r>
        <w:t xml:space="preserve"> </w:t>
      </w:r>
      <w:r>
        <w:t xml:space="preserve">‘</w:t>
      </w:r>
      <w:r>
        <w:t xml:space="preserve">traditional morphometrics</w:t>
      </w:r>
      <w:r>
        <w:t xml:space="preserve">’</w:t>
      </w:r>
      <w:r>
        <w:t xml:space="preserve"> </w:t>
      </w:r>
      <w:r>
        <w:t xml:space="preserve">literature (e.g. </w:t>
      </w:r>
      <w:r>
        <w:t xml:space="preserve">(Rolhf,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However,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packages</w:t>
      </w:r>
      <w:r>
        <w:t xml:space="preserve"> </w:t>
      </w:r>
      <w:r>
        <w:rPr>
          <w:rStyle w:val="VerbatimChar"/>
        </w:rPr>
        <w:t xml:space="preserve">geomorph</w:t>
      </w:r>
      <w:r>
        <w:t xml:space="preserve"> </w:t>
      </w:r>
      <w:r>
        <w:t xml:space="preserve">(Adams et al.,</w:t>
      </w:r>
      <w:r>
        <w:t xml:space="preserve"> </w:t>
      </w:r>
      <w:hyperlink w:anchor="ref-geomorph_2019">
        <w:r>
          <w:rPr>
            <w:rStyle w:val="Hyperlink"/>
          </w:rPr>
          <w:t xml:space="preserve">2019</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defintion of curvature. Polynomial functions will not always be appropriate and we encourage the development of algorithims that compute curvature from other curve-fitting strategies (reviewed in</w:t>
      </w:r>
      <w:r>
        <w:t xml:space="preserve"> </w:t>
      </w:r>
      <w:r>
        <w:t xml:space="preserve">(Rolhf,</w:t>
      </w:r>
      <w:r>
        <w:t xml:space="preserve"> </w:t>
      </w:r>
      <w:hyperlink w:anchor="ref-rohlf_1990">
        <w:r>
          <w:rPr>
            <w:rStyle w:val="Hyperlink"/>
          </w:rPr>
          <w:t xml:space="preserve">1990</w:t>
        </w:r>
      </w:hyperlink>
      <w:r>
        <w:t xml:space="preserve">)</w:t>
      </w:r>
      <w:r>
        <w:t xml:space="preserve">). Furthermore, there is potential for exisiting</w:t>
      </w:r>
      <w:r>
        <w:t xml:space="preserve"> </w:t>
      </w:r>
      <w:r>
        <w:rPr>
          <w:i/>
        </w:rPr>
        <w:t xml:space="preserve">geometric</w:t>
      </w:r>
      <w:r>
        <w:t xml:space="preserve"> </w:t>
      </w:r>
      <w:r>
        <w:t xml:space="preserve">morphometric (sensu</w:t>
      </w:r>
      <w:r>
        <w:t xml:space="preserve"> </w:t>
      </w:r>
      <w:r>
        <w:t xml:space="preserve">(Webster and Sheets,</w:t>
      </w:r>
      <w:r>
        <w:t xml:space="preserve"> </w:t>
      </w:r>
      <w:hyperlink w:anchor="ref-webster_2010">
        <w:r>
          <w:rPr>
            <w:rStyle w:val="Hyperlink"/>
          </w:rPr>
          <w:t xml:space="preserve">2010</w:t>
        </w:r>
      </w:hyperlink>
      <w:r>
        <w:t xml:space="preserve">)</w:t>
      </w:r>
      <w:r>
        <w:t xml:space="preserve">) algorithims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defintion of curvature,</w:t>
      </w:r>
      <w:r>
        <w:t xml:space="preserve"> </w:t>
      </w:r>
      <m:oMath>
        <m:r>
          <m:t>κ</m:t>
        </m:r>
      </m:oMath>
      <w:r>
        <w:t xml:space="preserve">, described in the previous section. Therefore there is great opportunity for existing algorithims (e.g. </w:t>
      </w:r>
      <w:r>
        <w:t xml:space="preserve">(Claude,</w:t>
      </w:r>
      <w:r>
        <w:t xml:space="preserve"> </w:t>
      </w:r>
      <w:hyperlink w:anchor="ref-claude_2008">
        <w:r>
          <w:rPr>
            <w:rStyle w:val="Hyperlink"/>
          </w:rPr>
          <w:t xml:space="preserve">2008</w:t>
        </w:r>
      </w:hyperlink>
      <w:r>
        <w:t xml:space="preserve">)</w:t>
      </w:r>
      <w:r>
        <w:t xml:space="preserve"> </w:t>
      </w:r>
      <w:r>
        <w:t xml:space="preserve">p.217-220) to parse curvature data as a part of an outline morphometrics analysis.</w:t>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pPr>
        <w:pStyle w:val="BodyText"/>
      </w:pPr>
      <w:r>
        <w:t xml:space="preserve"> </w:t>
      </w:r>
    </w:p>
    <w:p>
      <w:pPr>
        <w:pStyle w:val="Heading4"/>
      </w:pPr>
      <w:bookmarkStart w:id="38" w:name="Xe98c6fd457a4c76973c7232e837f8a2ed19fd3d"/>
      <w:r>
        <w:t xml:space="preserve">5. Proof of concept: A study of the development of curvature in</w:t>
      </w:r>
      <w:r>
        <w:t xml:space="preserve"> </w:t>
      </w:r>
      <w:r>
        <w:rPr>
          <w:i/>
        </w:rPr>
        <w:t xml:space="preserve">Epimedium</w:t>
      </w:r>
      <w:bookmarkEnd w:id="38"/>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9">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40">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 </w:t>
      </w:r>
    </w:p>
    <w:p>
      <w:pPr>
        <w:pStyle w:val="CaptionedFigure"/>
      </w:pPr>
      <w:r>
        <w:drawing>
          <wp:inline>
            <wp:extent cx="5943600" cy="473110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_alt.jpeg" id="0" name="Picture"/>
                    <pic:cNvPicPr>
                      <a:picLocks noChangeArrowheads="1" noChangeAspect="1"/>
                    </pic:cNvPicPr>
                  </pic:nvPicPr>
                  <pic:blipFill>
                    <a:blip r:embed="rId41"/>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 </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carothers_1982</w:t>
            </w:r>
          </w:p>
        </w:tc>
        <w:tc>
          <w:p>
            <w:pPr>
              <w:pStyle w:val="Compact"/>
              <w:jc w:val="left"/>
            </w:pPr>
            <w:r>
              <w:t xml:space="preserve">Effects of Trophic Morphology and Behavior on Foraging Rates of Three Hawaiian Honeycreeper</w:t>
            </w:r>
          </w:p>
        </w:tc>
        <w:tc>
          <w:p>
            <w:pPr>
              <w:pStyle w:val="Compact"/>
              <w:jc w:val="left"/>
            </w:pPr>
            <w:r>
              <w:t xml:space="preserve">Not defined (angle of deflection): based on use of degrees to express curvature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smith_1995</w:t>
            </w:r>
          </w:p>
        </w:tc>
        <w:tc>
          <w:p>
            <w:pPr>
              <w:pStyle w:val="Compact"/>
              <w:jc w:val="left"/>
            </w:pPr>
            <w:r>
              <w:t xml:space="preserve">Evolutionary Consequences of Extinctions in Populations of a Hawaiian Honeycreepe</w:t>
            </w:r>
          </w:p>
        </w:tc>
        <w:tc>
          <w:p>
            <w:pPr>
              <w:pStyle w:val="Compact"/>
              <w:jc w:val="left"/>
            </w:pPr>
            <w:r>
              <w:t xml:space="preserve">inverse radius</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miller_2017</w:t>
            </w:r>
          </w:p>
        </w:tc>
        <w:tc>
          <w:p>
            <w:pPr>
              <w:pStyle w:val="Compact"/>
              <w:jc w:val="left"/>
            </w:pPr>
            <w:r>
              <w:t xml:space="preserve">Ecological Divergence among Closely Related, Morphologically Similar Honeyeaters (Aves: Meliphagidae) Co-occurring in Arid Australian Environments</w:t>
            </w:r>
          </w:p>
        </w:tc>
        <w:tc>
          <w:p>
            <w:pPr>
              <w:pStyle w:val="Compact"/>
              <w:jc w:val="left"/>
            </w:pPr>
            <w:r>
              <w:t xml:space="preserve">arch:chord ratio</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mountainspring_1987</w:t>
            </w:r>
          </w:p>
        </w:tc>
        <w:tc>
          <w:p>
            <w:pPr>
              <w:pStyle w:val="Compact"/>
              <w:jc w:val="left"/>
            </w:pPr>
            <w:r>
              <w:t xml:space="preserve">sexual dimorphism and foraging preferences of the Hawaiian honeycreeper (Pseudonestor xanthophrys)</w:t>
            </w:r>
          </w:p>
        </w:tc>
        <w:tc>
          <w:p>
            <w:pPr>
              <w:pStyle w:val="Compact"/>
              <w:jc w:val="left"/>
            </w:pPr>
            <w:r>
              <w:t xml:space="preserve">mandibular index</w:t>
            </w:r>
          </w:p>
        </w:tc>
      </w:tr>
      <w:tr>
        <w:tc>
          <w:p>
            <w:pPr>
              <w:pStyle w:val="Compact"/>
              <w:jc w:val="left"/>
            </w:pPr>
            <w:r>
              <w:t xml:space="preserve">lindqvist_2003</w:t>
            </w:r>
          </w:p>
        </w:tc>
        <w:tc>
          <w:p>
            <w:pPr>
              <w:pStyle w:val="Compact"/>
              <w:jc w:val="left"/>
            </w:pPr>
            <w:r>
              <w:t xml:space="preserve">Cladogenesis and reticulation in the Hawaiianendemic mints (Lamiaceae)</w:t>
            </w:r>
          </w:p>
        </w:tc>
        <w:tc>
          <w:p>
            <w:pPr>
              <w:pStyle w:val="Compact"/>
              <w:jc w:val="left"/>
            </w:pPr>
            <w:r>
              <w:t xml:space="preserve">qualitative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pPr>
        <w:pStyle w:val="BodyText"/>
      </w:pPr>
      <w:r>
        <w:t xml:space="preserve"> </w:t>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Species_epithet</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Landmarking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Landmarking</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45"/>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46" w:name="references"/>
      <w:r>
        <w:t xml:space="preserve">References</w:t>
      </w:r>
      <w:bookmarkEnd w:id="46"/>
    </w:p>
    <w:p>
      <w:pPr>
        <w:pStyle w:val="FirstParagraph"/>
      </w:pPr>
    </w:p>
    <w:bookmarkStart w:id="108" w:name="refs"/>
    <w:bookmarkStart w:id="47" w:name="ref-geomorph_2019"/>
    <w:p>
      <w:pPr>
        <w:pStyle w:val="Bibliography"/>
      </w:pPr>
      <w:r>
        <w:t xml:space="preserve">Adams, D., Collyer, M., and Kaliontzopoulou, A. (2019). Geomorph: Software for geometric morphometric analyses. R package version 3.1.0.</w:t>
      </w:r>
    </w:p>
    <w:bookmarkEnd w:id="47"/>
    <w:bookmarkStart w:id="48"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8"/>
    <w:bookmarkStart w:id="49" w:name="ref-baldwin_1931"/>
    <w:p>
      <w:pPr>
        <w:pStyle w:val="Bibliography"/>
      </w:pPr>
      <w:r>
        <w:t xml:space="preserve">Baldwin, S.P., Oberholser, H.C., and Worley, L.G. (1931). Measurements of birds (Cleveland Museum of Natural History).</w:t>
      </w:r>
    </w:p>
    <w:bookmarkEnd w:id="49"/>
    <w:bookmarkStart w:id="50"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0"/>
    <w:bookmarkStart w:id="51" w:name="ref-bell_1956"/>
    <w:p>
      <w:pPr>
        <w:pStyle w:val="Bibliography"/>
      </w:pPr>
      <w:r>
        <w:t xml:space="preserve">Bell, J. (1956). 2619. Tangent, chord theorem. The Mathematical Gazette</w:t>
      </w:r>
      <w:r>
        <w:t xml:space="preserve"> </w:t>
      </w:r>
      <w:r>
        <w:rPr>
          <w:i/>
        </w:rPr>
        <w:t xml:space="preserve">40</w:t>
      </w:r>
      <w:r>
        <w:t xml:space="preserve">, 211–212.</w:t>
      </w:r>
    </w:p>
    <w:bookmarkEnd w:id="51"/>
    <w:bookmarkStart w:id="5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2"/>
    <w:bookmarkStart w:id="5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3"/>
    <w:bookmarkStart w:id="54"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4"/>
    <w:bookmarkStart w:id="55"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5"/>
    <w:bookmarkStart w:id="56" w:name="ref-bookstein_1978"/>
    <w:p>
      <w:pPr>
        <w:pStyle w:val="Bibliography"/>
      </w:pPr>
      <w:r>
        <w:t xml:space="preserve">Bookstein, F.L. (1978). The measurement of biological shape and shape change (Springer Science &amp; Business Media).</w:t>
      </w:r>
    </w:p>
    <w:bookmarkEnd w:id="56"/>
    <w:bookmarkStart w:id="57" w:name="ref-bookstein_1991"/>
    <w:p>
      <w:pPr>
        <w:pStyle w:val="Bibliography"/>
      </w:pPr>
      <w:r>
        <w:t xml:space="preserve">Bookstein, F.L. (1991). Morphometric tools for landmark data: Geometry and biology (Cambridge University Press).</w:t>
      </w:r>
    </w:p>
    <w:bookmarkEnd w:id="57"/>
    <w:bookmarkStart w:id="58" w:name="ref-borchers_2019"/>
    <w:p>
      <w:pPr>
        <w:pStyle w:val="Bibliography"/>
      </w:pPr>
      <w:r>
        <w:t xml:space="preserve">Borchers, H.W. (2019). Pracma: Practical numerical math functions. R package version 2.2.5.</w:t>
      </w:r>
    </w:p>
    <w:bookmarkEnd w:id="58"/>
    <w:bookmarkStart w:id="59"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9"/>
    <w:bookmarkStart w:id="60"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0"/>
    <w:bookmarkStart w:id="61" w:name="ref-casey_1996"/>
    <w:p>
      <w:pPr>
        <w:pStyle w:val="Bibliography"/>
      </w:pPr>
      <w:r>
        <w:t xml:space="preserve">Casey, J. (1996). Exploring curvature (Braunschweig, Germany: Friedr. Vieweg &amp; Sohn Verlagsgesellschaft mbH).</w:t>
      </w:r>
    </w:p>
    <w:bookmarkEnd w:id="61"/>
    <w:bookmarkStart w:id="62" w:name="ref-claude_2008"/>
    <w:p>
      <w:pPr>
        <w:pStyle w:val="Bibliography"/>
      </w:pPr>
      <w:r>
        <w:t xml:space="preserve">Claude, J. (2008). Morphometrics with r (Springer Science &amp; Business Media).</w:t>
      </w:r>
    </w:p>
    <w:bookmarkEnd w:id="62"/>
    <w:bookmarkStart w:id="63"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3"/>
    <w:bookmarkStart w:id="64"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4"/>
    <w:bookmarkStart w:id="65"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5"/>
    <w:bookmarkStart w:id="66"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6"/>
    <w:bookmarkStart w:id="6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7"/>
    <w:bookmarkStart w:id="68"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8"/>
    <w:bookmarkStart w:id="6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9"/>
    <w:bookmarkStart w:id="7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0"/>
    <w:bookmarkStart w:id="7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1"/>
    <w:bookmarkStart w:id="72"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2"/>
    <w:bookmarkStart w:id="73"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73"/>
    <w:bookmarkStart w:id="74"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4"/>
    <w:bookmarkStart w:id="75"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75"/>
    <w:bookmarkStart w:id="76"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76"/>
    <w:bookmarkStart w:id="77"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w:t>
      </w:r>
    </w:p>
    <w:bookmarkEnd w:id="77"/>
    <w:bookmarkStart w:id="78"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78"/>
    <w:bookmarkStart w:id="79" w:name="ref-maglianesi_2015_b"/>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79"/>
    <w:bookmarkStart w:id="80"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80"/>
    <w:bookmarkStart w:id="81" w:name="ref-minnaar_2019"/>
    <w:p>
      <w:pPr>
        <w:pStyle w:val="Bibliography"/>
      </w:pPr>
      <w:r>
        <w:t xml:space="preserve">Minnaar, C., Jager, M. de, and Anderson, B. (2019). Intraspecific divergence in floral-tube length promotes asymmetric pollen movement and reproductive isolation. New Phytologist.</w:t>
      </w:r>
    </w:p>
    <w:bookmarkEnd w:id="81"/>
    <w:bookmarkStart w:id="82"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82"/>
    <w:bookmarkStart w:id="83"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83"/>
    <w:bookmarkStart w:id="84"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84"/>
    <w:bookmarkStart w:id="85"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85"/>
    <w:bookmarkStart w:id="86"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86"/>
    <w:bookmarkStart w:id="87" w:name="ref-R_2017"/>
    <w:p>
      <w:pPr>
        <w:pStyle w:val="Bibliography"/>
      </w:pPr>
      <w:r>
        <w:t xml:space="preserve">R Core Team (2017). R: A language and environment for statistical computing (Vienna, Austria: R Foundation for Statistical Computing).</w:t>
      </w:r>
    </w:p>
    <w:bookmarkEnd w:id="87"/>
    <w:bookmarkStart w:id="88" w:name="ref-robertson_1889"/>
    <w:p>
      <w:pPr>
        <w:pStyle w:val="Bibliography"/>
      </w:pPr>
      <w:r>
        <w:t xml:space="preserve">Robertson, C. (1889). Flowers and insects. II. Botanical Gazette</w:t>
      </w:r>
      <w:r>
        <w:t xml:space="preserve"> </w:t>
      </w:r>
      <w:r>
        <w:rPr>
          <w:i/>
        </w:rPr>
        <w:t xml:space="preserve">14</w:t>
      </w:r>
      <w:r>
        <w:t xml:space="preserve">, 172–178.</w:t>
      </w:r>
    </w:p>
    <w:bookmarkEnd w:id="88"/>
    <w:bookmarkStart w:id="89" w:name="ref-rohlf_2015"/>
    <w:p>
      <w:pPr>
        <w:pStyle w:val="Bibliography"/>
      </w:pPr>
      <w:r>
        <w:t xml:space="preserve">Rohlf, F.J. (2015). The tps series of software. Hystrix</w:t>
      </w:r>
      <w:r>
        <w:t xml:space="preserve"> </w:t>
      </w:r>
      <w:r>
        <w:rPr>
          <w:i/>
        </w:rPr>
        <w:t xml:space="preserve">26</w:t>
      </w:r>
      <w:r>
        <w:t xml:space="preserve">.</w:t>
      </w:r>
    </w:p>
    <w:bookmarkEnd w:id="89"/>
    <w:bookmarkStart w:id="90"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90"/>
    <w:bookmarkStart w:id="91"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91"/>
    <w:bookmarkStart w:id="92" w:name="ref-rutter_2000"/>
    <w:p>
      <w:pPr>
        <w:pStyle w:val="Bibliography"/>
      </w:pPr>
      <w:r>
        <w:t xml:space="preserve">Rutter, J.W. (2000). Geometry of curves (Boca Raton, FL: CRC Press, Taylor; Francis Group).</w:t>
      </w:r>
    </w:p>
    <w:bookmarkEnd w:id="92"/>
    <w:bookmarkStart w:id="93"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93"/>
    <w:bookmarkStart w:id="94"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94"/>
    <w:bookmarkStart w:id="95"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95"/>
    <w:bookmarkStart w:id="96"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96"/>
    <w:bookmarkStart w:id="97"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97"/>
    <w:bookmarkStart w:id="98"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98"/>
    <w:bookmarkStart w:id="99" w:name="ref-suzuki_1984"/>
    <w:p>
      <w:pPr>
        <w:pStyle w:val="Bibliography"/>
      </w:pPr>
      <w:r>
        <w:t xml:space="preserve">Suzuki, K. (1984). Pollination system and its significance on isolation and hybridization in japaneseepimedium (berberidaceae). The Journal of Plant Research</w:t>
      </w:r>
      <w:r>
        <w:t xml:space="preserve"> </w:t>
      </w:r>
      <w:r>
        <w:rPr>
          <w:i/>
        </w:rPr>
        <w:t xml:space="preserve">97</w:t>
      </w:r>
      <w:r>
        <w:t xml:space="preserve">, 381–396.</w:t>
      </w:r>
    </w:p>
    <w:bookmarkEnd w:id="99"/>
    <w:bookmarkStart w:id="10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00"/>
    <w:bookmarkStart w:id="101"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01"/>
    <w:bookmarkStart w:id="102"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02"/>
    <w:bookmarkStart w:id="103"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03"/>
    <w:bookmarkStart w:id="104"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04"/>
    <w:bookmarkStart w:id="105"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05"/>
    <w:bookmarkStart w:id="106" w:name="ref-young_2008"/>
    <w:p>
      <w:pPr>
        <w:pStyle w:val="Bibliography"/>
      </w:pPr>
      <w:r>
        <w:t xml:space="preserve">Young, H.J. (2008). Selection on spur shape in impatiens capensis. Oecologia</w:t>
      </w:r>
      <w:r>
        <w:t xml:space="preserve"> </w:t>
      </w:r>
      <w:r>
        <w:rPr>
          <w:i/>
        </w:rPr>
        <w:t xml:space="preserve">156</w:t>
      </w:r>
      <w:r>
        <w:t xml:space="preserve">, 535–543.</w:t>
      </w:r>
    </w:p>
    <w:bookmarkEnd w:id="106"/>
    <w:bookmarkStart w:id="107"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07"/>
    <w:bookmarkEnd w:id="108"/>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2020-02-04T02:47:16Z</dcterms:created>
  <dcterms:modified xsi:type="dcterms:W3CDTF">2020-02-04T02:47:16Z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