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28.jpg" ContentType="image/jpeg"/>
  <Override PartName="/word/media/rId32.jpg" ContentType="image/jpeg"/>
  <Override PartName="/word/media/rId35.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acknowledgements"/>
      <w:r>
        <w:t xml:space="preserve">Acknowledgements</w:t>
      </w:r>
      <w:bookmarkEnd w:id="20"/>
    </w:p>
    <w:p>
      <w:pPr>
        <w:pStyle w:val="FirstParagraph"/>
      </w:pPr>
      <w:r>
        <w:t xml:space="preserve">Sections 2, 3, and 4 were generously reviewed and improved by T. Carvalho, A. MacPherson, and J.S. Légaré, respectively. M. Boehm was funded by The University of British Columbia, and the Natural Sciences and Engineering Research Council of Canada (NSERC). Q. Cronk was funded by NSERC grant #…</w:t>
      </w:r>
    </w:p>
    <w:p>
      <w:pPr>
        <w:pStyle w:val="Heading4"/>
      </w:pPr>
      <w:bookmarkStart w:id="21" w:name="abstract"/>
      <w:r>
        <w:t xml:space="preserve">Abstract</w:t>
      </w:r>
      <w:bookmarkEnd w:id="21"/>
    </w:p>
    <w:p>
      <w:pPr>
        <w:pStyle w:val="FirstParagraph"/>
      </w:pPr>
      <w:r>
        <w:t xml:space="preserve">The curvature of flowers and pollinator mouthparts (e.g. hummingbird bills) along the lateral plane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methods historically used to measure curvature and suggest a clarification of its definition by referring to the differential geometry literature. Intuitively, curvature is the degree to which a line is not straight, or more formally,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language of comparitive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This is to say that</w:t>
      </w:r>
      <w:r>
        <w:t xml:space="preserve"> </w:t>
      </w:r>
      <w:r>
        <w:rPr>
          <w:i/>
        </w:rPr>
        <w:t xml:space="preserve">E. violaceum</w:t>
      </w:r>
      <w:r>
        <w:t xml:space="preserve"> </w:t>
      </w:r>
      <w:r>
        <w:t xml:space="preserve">had greater total changes in direction along the arc of the nectar spur. The functions used to quantify floral curvature in this study are available as an open-source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2" w:name="Xd9574ba9fc8b8c8a16a91b089379ae145e5e489"/>
      <w:r>
        <w:t xml:space="preserve">1. The ecology of flower-pollinator curvature</w:t>
      </w:r>
      <w:bookmarkEnd w:id="22"/>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ADD IN EXAMPLE OF POLLINATOR DIVERSIFICATION.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r>
        <w:rPr>
          <w:b/>
        </w:rPr>
        <w:t xml:space="preserve">???</w:t>
      </w:r>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3" w:name="summary-of-the-literature"/>
      <w:r>
        <w:t xml:space="preserve">2. Summary of the literature</w:t>
      </w:r>
      <w:bookmarkEnd w:id="23"/>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41 pollination studies were found using some form of curvature metric (Table 1). An additional 11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lateral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4">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5">
        <w:r>
          <w:rPr>
            <w:rStyle w:val="Hyperlink"/>
          </w:rPr>
          <w:t xml:space="preserve">Figure S1</w:t>
        </w:r>
      </w:hyperlink>
      <w:r>
        <w:t xml:space="preserve">. Sixth, geometric morphometrics, which quantifies shape as a configuration of homologous points (landmarks) existing on a coordinate plane (</w:t>
      </w:r>
      <w:hyperlink r:id="rId26">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 We believe these problems could be remedied by referring to the mathematical literature for the derivation and defintion of curvature and related concepts.</w:t>
      </w:r>
    </w:p>
    <w:p>
      <w:pPr>
        <w:pStyle w:val="CaptionedFigure"/>
      </w:pPr>
      <w:r>
        <w:drawing>
          <wp:inline>
            <wp:extent cx="5943600" cy="3343275"/>
            <wp:effectExtent b="0" l="0" r="0" t="0"/>
            <wp:docPr descr="Figure 1. Overview of most commonly used curvature metrics.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1. arc:chord ratio. 2. mandibular index 3. inverse radius. 4. angle of deflection</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BodyText"/>
      </w:pPr>
      <w:r>
        <w:t xml:space="preserve">Comment on Macleod 2002: Geometric morphometrics and geological shape-classification systems</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29" w:name="what-is-curvature"/>
      <w:r>
        <w:t xml:space="preserve">3. What is curvature?</w:t>
      </w:r>
      <w:bookmarkEnd w:id="29"/>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first derivative - the tangent (shown by</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n</m:t>
            </m:r>
          </m:sub>
        </m:sSub>
      </m:oMath>
      <w:r>
        <w:t xml:space="preserve"> </w:t>
      </w:r>
      <w:r>
        <w:t xml:space="preserve">in</w:t>
      </w:r>
      <w:r>
        <w:t xml:space="preserve"> </w:t>
      </w:r>
      <w:hyperlink r:id="rId30">
        <w:r>
          <w:rPr>
            <w:rStyle w:val="Hyperlink"/>
          </w:rPr>
          <w:t xml:space="preserve">Figure 3</w:t>
        </w:r>
      </w:hyperlink>
      <w:r>
        <w:t xml:space="preserve">) - changes direction (e.g. the difference in direction of</w:t>
      </w:r>
      <w:r>
        <w:t xml:space="preserve"> </w:t>
      </w:r>
      <m:oMath>
        <m:sSub>
          <m:e>
            <m:r>
              <m:rPr>
                <m:sty m:val="b"/>
              </m:rPr>
              <m:t>T</m:t>
            </m:r>
          </m:e>
          <m:sub>
            <m:r>
              <m:t>i</m:t>
            </m:r>
          </m:sub>
        </m:sSub>
      </m:oMath>
      <w:r>
        <w:t xml:space="preserve"> </w:t>
      </w:r>
      <w:r>
        <w:t xml:space="preserve">to</w:t>
      </w:r>
      <w:r>
        <w:t xml:space="preserve"> </w:t>
      </w:r>
      <m:oMath>
        <m:sSub>
          <m:e>
            <m:r>
              <m:rPr>
                <m:sty m:val="b"/>
              </m:rPr>
              <m:t>T</m:t>
            </m:r>
          </m:e>
          <m:sub>
            <m:r>
              <m:t>i</m:t>
            </m:r>
            <m:r>
              <m:t>+</m:t>
            </m:r>
            <m:r>
              <m:t>1</m:t>
            </m:r>
          </m:sub>
        </m:sSub>
      </m:oMath>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0">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Letting</w:t>
      </w:r>
      <w:r>
        <w:t xml:space="preserve"> </w:t>
      </w:r>
      <m:oMath>
        <m:sSub>
          <m:e>
            <m:bar>
              <m:barPr>
                <m:pos m:val="top"/>
              </m:barPr>
              <m:e>
                <m:r>
                  <m:rPr>
                    <m:sty m:val="b"/>
                  </m:rPr>
                  <m:t>r</m:t>
                </m:r>
              </m:e>
            </m:bar>
          </m:e>
          <m:sub>
            <m:r>
              <m:t>i</m:t>
            </m:r>
          </m:sub>
        </m:sSub>
      </m:oMath>
      <w:r>
        <w:t xml:space="preserve"> </w:t>
      </w:r>
      <w:r>
        <w:t xml:space="preserve">be the position</w:t>
      </w:r>
      <w:r>
        <w:t xml:space="preserve"> </w:t>
      </w:r>
      <m:oMath>
        <m:r>
          <m:t>(</m:t>
        </m:r>
        <m:sSub>
          <m:e>
            <m:r>
              <m:t>x</m:t>
            </m:r>
          </m:e>
          <m:sub>
            <m:r>
              <m:t>i</m:t>
            </m:r>
          </m:sub>
        </m:sSub>
        <m:r>
          <m:t>,</m:t>
        </m:r>
        <m:sSub>
          <m:e>
            <m:r>
              <m:t>y</m:t>
            </m:r>
          </m:e>
          <m:sub>
            <m:r>
              <m:t>i</m:t>
            </m:r>
          </m:sub>
        </m:sSub>
        <m:r>
          <m:t>)</m:t>
        </m:r>
      </m:oMath>
      <w:r>
        <w:t xml:space="preserve">, we can express</w:t>
      </w:r>
      <w:r>
        <w:t xml:space="preserve"> </w:t>
      </w:r>
      <m:oMath>
        <m:sSub>
          <m:e>
            <m:bar>
              <m:barPr>
                <m:pos m:val="top"/>
              </m:barPr>
              <m:e>
                <m:r>
                  <m:rPr>
                    <m:sty m:val="b"/>
                  </m:rPr>
                  <m:t>r</m:t>
                </m:r>
              </m:e>
            </m:bar>
          </m:e>
          <m:sub>
            <m:r>
              <m:t>i</m:t>
            </m:r>
          </m:sub>
        </m:sSub>
      </m:oMath>
      <w:r>
        <w:t xml:space="preserve"> </w:t>
      </w:r>
      <w:r>
        <w:t xml:space="preserve">as a function solely of</w:t>
      </w:r>
      <w:r>
        <w:t xml:space="preserve"> </w:t>
      </w:r>
      <m:oMath>
        <m:sSub>
          <m:e>
            <m:r>
              <m:t>s</m:t>
            </m:r>
          </m:e>
          <m:sub>
            <m:r>
              <m:t>i</m:t>
            </m:r>
          </m:sub>
        </m:sSub>
      </m:oMath>
      <w:r>
        <w:t xml:space="preserve">. Specifically, using vector notation we have:</w:t>
      </w:r>
    </w:p>
    <w:p>
      <w:pPr>
        <w:pStyle w:val="BodyText"/>
      </w:pPr>
    </w:p>
    <w:p>
      <w:pPr>
        <w:pStyle w:val="BodyText"/>
      </w:pPr>
      <w:r>
        <w:t xml:space="preserve">Where</w:t>
      </w:r>
      <w:r>
        <w:t xml:space="preserve"> </w:t>
      </w:r>
      <m:oMath>
        <m:sSub>
          <m:e>
            <m:bar>
              <m:barPr>
                <m:pos m:val="top"/>
              </m:barPr>
              <m:e>
                <m:r>
                  <m:rPr>
                    <m:sty m:val="b"/>
                  </m:rPr>
                  <m:t>r</m:t>
                </m:r>
              </m:e>
            </m:bar>
          </m:e>
          <m:sub>
            <m:r>
              <m:t>i</m:t>
            </m:r>
          </m:sub>
        </m:sSub>
      </m:oMath>
      <w:r>
        <w:t xml:space="preserve"> </w:t>
      </w:r>
      <w:r>
        <w:t xml:space="preserve">is shorthand for</w:t>
      </w:r>
      <w:r>
        <w:t xml:space="preserve"> </w:t>
      </w:r>
      <m:oMath>
        <m:bar>
          <m:barPr>
            <m:pos m:val="top"/>
          </m:barPr>
          <m:e>
            <m:r>
              <m:rPr>
                <m:sty m:val="b"/>
              </m:rPr>
              <m:t>r</m:t>
            </m:r>
          </m:e>
        </m:bar>
        <m:r>
          <m:t>(</m:t>
        </m:r>
        <m:sSub>
          <m:e>
            <m:r>
              <m:t>s</m:t>
            </m:r>
          </m:e>
          <m:sub>
            <m:r>
              <m:t>i</m:t>
            </m:r>
          </m:sub>
        </m:sSub>
        <m:r>
          <m:t>)</m:t>
        </m:r>
      </m:oMath>
      <w:r>
        <w:t xml:space="preserve"> </w:t>
      </w:r>
      <w:r>
        <w:t xml:space="preserve">which indicates that our position</w:t>
      </w:r>
      <w:r>
        <w:t xml:space="preserve"> </w:t>
      </w:r>
      <m:oMath>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bar>
          <m:barPr>
            <m:pos m:val="top"/>
          </m:barPr>
          <m:e>
            <m:r>
              <m:rPr>
                <m:sty m:val="b"/>
              </m:rPr>
              <m:t>r</m:t>
            </m:r>
          </m:e>
        </m:ba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w:p>
    <w:p>
      <w:pPr>
        <w:pStyle w:val="BodyText"/>
      </w:pPr>
      <w:r>
        <w:t xml:space="preserve">This produces a tangent function</w:t>
      </w:r>
      <w:r>
        <w:t xml:space="preserve"> </w:t>
      </w:r>
      <m:oMath>
        <m:r>
          <m:rPr>
            <m:sty m:val="b"/>
          </m:rPr>
          <m:t>T</m:t>
        </m:r>
        <m:r>
          <m:t>(</m:t>
        </m:r>
        <m:r>
          <m:t>s</m:t>
        </m:r>
        <m:r>
          <m:t>)</m:t>
        </m:r>
        <m:r>
          <m:t>=</m:t>
        </m:r>
        <m:f>
          <m:fPr>
            <m:type m:val="bar"/>
          </m:fPr>
          <m:num>
            <m:r>
              <m:t>d</m:t>
            </m:r>
            <m:bar>
              <m:barPr>
                <m:pos m:val="top"/>
              </m:barPr>
              <m:e>
                <m:r>
                  <m:rPr>
                    <m:sty m:val="b"/>
                  </m:rPr>
                  <m:t>r</m:t>
                </m:r>
              </m:e>
            </m:bar>
          </m:num>
          <m:den>
            <m:r>
              <m:t>d</m:t>
            </m:r>
            <m:r>
              <m:t>s</m:t>
            </m:r>
          </m:den>
        </m:f>
      </m:oMath>
      <w:r>
        <w:t xml:space="preserve"> </w:t>
      </w:r>
      <w:r>
        <w:t xml:space="preserve">giving the first derivative of the parametric equation</w:t>
      </w:r>
      <w:r>
        <w:t xml:space="preserve"> </w:t>
      </w:r>
      <m:oMath>
        <m:bar>
          <m:barPr>
            <m:pos m:val="top"/>
          </m:barPr>
          <m:e>
            <m:r>
              <m:rPr>
                <m:sty m:val="b"/>
              </m:rPr>
              <m:t>r</m:t>
            </m:r>
          </m:e>
        </m:bar>
        <m:r>
          <m:t>(</m:t>
        </m:r>
        <m:r>
          <m:t>s</m:t>
        </m:r>
        <m:r>
          <m:t>)</m:t>
        </m:r>
      </m:oMath>
      <w:r>
        <w:t xml:space="preserve">. The tangent</w:t>
      </w:r>
      <w:r>
        <w:t xml:space="preserve"> </w:t>
      </w:r>
      <m:oMath>
        <m:sSub>
          <m:e>
            <m:r>
              <m:rPr>
                <m:sty m:val="b"/>
              </m:rPr>
              <m:t>T</m:t>
            </m:r>
          </m:e>
          <m:sub>
            <m:r>
              <m:t>i</m:t>
            </m:r>
          </m:sub>
        </m:sSub>
        <m:r>
          <m:t>=</m:t>
        </m:r>
        <m:r>
          <m:rPr>
            <m:sty m:val="b"/>
          </m:rPr>
          <m:t>T</m:t>
        </m:r>
        <m:r>
          <m:t>(</m:t>
        </m:r>
        <m:sSub>
          <m:e>
            <m:r>
              <m:t>s</m:t>
            </m:r>
          </m:e>
          <m:sub>
            <m:r>
              <m:t>i</m:t>
            </m:r>
          </m:sub>
        </m:sSub>
        <m:r>
          <m:t>)</m:t>
        </m:r>
      </m:oMath>
      <w:r>
        <w:t xml:space="preserve"> </w:t>
      </w:r>
      <w:r>
        <w:t xml:space="preserve">contains information about the direction of the curve at position</w:t>
      </w:r>
      <w:r>
        <w:t xml:space="preserve"> </w:t>
      </w:r>
      <m:oMath>
        <m:bar>
          <m:barPr>
            <m:pos m:val="top"/>
          </m:barPr>
          <m:e>
            <m:r>
              <m:rPr>
                <m:sty m:val="b"/>
              </m:rPr>
              <m:t>r</m:t>
            </m:r>
          </m:e>
        </m:bar>
        <m:r>
          <m:t>(</m:t>
        </m:r>
        <m:sSub>
          <m:e>
            <m:r>
              <m:t>s</m:t>
            </m:r>
          </m:e>
          <m:sub>
            <m:r>
              <m:t>i</m:t>
            </m:r>
          </m:sub>
        </m:sSub>
        <m:r>
          <m:t>)</m:t>
        </m:r>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w:p>
    <w:p>
      <w:pPr>
        <w:pStyle w:val="BodyText"/>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bar>
          <m:barPr>
            <m:pos m:val="top"/>
          </m:barPr>
          <m:e>
            <m:r>
              <m:rPr>
                <m:sty m:val="b"/>
              </m:rPr>
              <m:t>r</m:t>
            </m:r>
          </m:e>
        </m:bar>
        <m:r>
          <m:t>(</m:t>
        </m:r>
        <m:sSub>
          <m:e>
            <m:r>
              <m:t>s</m:t>
            </m:r>
          </m:e>
          <m:sub>
            <m:r>
              <m:t>i</m:t>
            </m:r>
          </m:sub>
        </m:sSub>
        <m:r>
          <m:t>)</m:t>
        </m:r>
      </m:oMath>
      <w:r>
        <w:t xml:space="preserve">:</w:t>
      </w:r>
    </w:p>
    <w:p>
      <w:pPr>
        <w:pStyle w:val="BodyText"/>
      </w:pPr>
    </w:p>
    <w:p>
      <w:pPr>
        <w:pStyle w:val="BodyText"/>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1">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w:p>
    <w:p>
      <w:pPr>
        <w:pStyle w:val="BodyText"/>
      </w:pPr>
      <w:r>
        <w:t xml:space="preserve">This definition provides an intuitive unit of measurement for reporting curvature: degrees of rotation per unit arc length</w:t>
      </w:r>
      <w:r>
        <w:t xml:space="preserve"> </w:t>
      </w:r>
      <w:hyperlink r:id="rId30">
        <w:r>
          <w:rPr>
            <w:rStyle w:val="Hyperlink"/>
          </w:rPr>
          <w:t xml:space="preserve">(Figure 3)</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bar{r}}(s_8) points to the location on the curve (x_8, y_8). T_0, T_2, and T_8 are the tangents ( \frac{d \mathbf{\bar{r}}}{ds} ) at s=0, s=2, and s=8, respectively. Curvature at s_n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2"/>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 When</w:t>
      </w:r>
      <w:r>
        <w:t xml:space="preserve"> </w:t>
      </w:r>
      <m:oMath>
        <m:r>
          <m:t>s</m:t>
        </m:r>
        <m:r>
          <m:t>=</m:t>
        </m:r>
        <m:r>
          <m:t>8</m:t>
        </m:r>
      </m:oMath>
      <w:r>
        <w:t xml:space="preserve">, the vector</w:t>
      </w:r>
      <w:r>
        <w:t xml:space="preserve"> </w:t>
      </w:r>
      <m:oMath>
        <m:bar>
          <m:barPr>
            <m:pos m:val="top"/>
          </m:barPr>
          <m:e>
            <m:r>
              <m:rPr>
                <m:sty m:val="b"/>
              </m:rPr>
              <m:t>r</m:t>
            </m:r>
          </m:e>
        </m:ba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bar>
              <m:barPr>
                <m:pos m:val="top"/>
              </m:barPr>
              <m:e>
                <m:r>
                  <m:rPr>
                    <m:sty m:val="b"/>
                  </m:rPr>
                  <m:t>r</m:t>
                </m:r>
              </m:e>
            </m:ba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n</m:t>
            </m:r>
          </m:sub>
        </m:sSub>
      </m:oMath>
      <w:r>
        <w:t xml:space="preserve"> </w:t>
      </w:r>
      <w:r>
        <w:t xml:space="preserve">is defined in equation (4).</w:t>
      </w:r>
    </w:p>
    <w:p>
      <w:pPr>
        <w:pStyle w:val="Heading4"/>
      </w:pPr>
      <w:bookmarkStart w:id="33" w:name="X4c9b8b8142f99b54ba92ec3dabe5c3262370a08"/>
      <w:r>
        <w:t xml:space="preserve">4. A proposed protocol for measuring curvature</w:t>
      </w:r>
      <w:bookmarkEnd w:id="33"/>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previous methods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 This leaves room for advancemens in geometry to be easily adopted into morphological studies.</w:t>
      </w:r>
    </w:p>
    <w:p>
      <w:pPr>
        <w:pStyle w:val="BodyText"/>
      </w:pPr>
      <w:r>
        <w:t xml:space="preserve">In order to apply this definition of curvature, a biological organ or tissue needs to be reduced to a continuous function. To do this, we propose a protocol as illustrated in</w:t>
      </w:r>
      <w:r>
        <w:t xml:space="preserve"> </w:t>
      </w:r>
      <w:hyperlink r:id="rId34">
        <w:r>
          <w:rPr>
            <w:rStyle w:val="Hyperlink"/>
          </w:rPr>
          <w:t xml:space="preserve">Figure 4</w:t>
        </w:r>
      </w:hyperlink>
      <w:r>
        <w:t xml:space="preserve">. First, a specimen is landmarked at several locations along the area of study (for landmark selection criteria see: Webster and Sheets</w:t>
      </w:r>
      <w:r>
        <w:t xml:space="preserve"> </w:t>
      </w:r>
      <w:r>
        <w:t xml:space="preserve">(</w:t>
      </w:r>
      <w:hyperlink w:anchor="ref-webster_2010">
        <w:r>
          <w:rPr>
            <w:rStyle w:val="Hyperlink"/>
          </w:rPr>
          <w:t xml:space="preserve">2010</w:t>
        </w:r>
      </w:hyperlink>
      <w:r>
        <w:t xml:space="preserve">)</w:t>
      </w:r>
      <w:r>
        <w:t xml:space="preserve">). Second, a mathematical function is fitted to the landmarks. Finally, curvature is calculated point-wise along the curve. Cosgrove</w:t>
      </w:r>
      <w:r>
        <w:t xml:space="preserve"> </w:t>
      </w:r>
      <w:r>
        <w:t xml:space="preserve">(</w:t>
      </w:r>
      <w:hyperlink w:anchor="ref-cosgrove_1990">
        <w:r>
          <w:rPr>
            <w:rStyle w:val="Hyperlink"/>
          </w:rPr>
          <w:t xml:space="preserve">1990</w:t>
        </w:r>
      </w:hyperlink>
      <w:r>
        <w:t xml:space="preserve">)</w:t>
      </w:r>
      <w:r>
        <w:t xml:space="preserve"> </w:t>
      </w:r>
      <w:r>
        <w:t xml:space="preserve">used an analogous approach to study the development of cucumber hypocotyls. By fitting cubic splines to images of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Whereas Cosgrove</w:t>
      </w:r>
      <w:r>
        <w:t xml:space="preserve"> </w:t>
      </w:r>
      <w:r>
        <w:t xml:space="preserve">(</w:t>
      </w:r>
      <w:hyperlink w:anchor="ref-cosgrove_1990">
        <w:r>
          <w:rPr>
            <w:rStyle w:val="Hyperlink"/>
          </w:rPr>
          <w:t xml:space="preserve">1990</w:t>
        </w:r>
      </w:hyperlink>
      <w:r>
        <w:t xml:space="preserve">)</w:t>
      </w:r>
      <w:r>
        <w:t xml:space="preserve"> </w:t>
      </w:r>
      <w:r>
        <w:t xml:space="preserve">marked images by hand, landmark morphometrics incorporates digital imaging (including scaling) to accurately mark homologous points between specimens. Using a similar approach, Terral et al</w:t>
      </w:r>
      <w:r>
        <w:t xml:space="preserve"> </w:t>
      </w:r>
      <w:r>
        <w:t xml:space="preserve">(</w:t>
      </w:r>
      <w:hyperlink w:anchor="ref-terral_2004">
        <w:r>
          <w:rPr>
            <w:rStyle w:val="Hyperlink"/>
          </w:rPr>
          <w:t xml:space="preserve">2004</w:t>
        </w:r>
      </w:hyperlink>
      <w:r>
        <w:t xml:space="preserve">)</w:t>
      </w:r>
      <w:r>
        <w:t xml:space="preserve"> </w:t>
      </w:r>
      <w:r>
        <w:t xml:space="preserve">employed digital landmarking of olive stones to estimate polynomial equations that represented their shape (but did not calculate curvature specifically).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4">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The tangent vector \mathbf{T} is calculated at infinitesimal increments, ds along the curve. 4. Curvature is calculated as the rate of change of the tangent vectors at every point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The tangent vector</w:t>
      </w:r>
      <w:r>
        <w:t xml:space="preserve"> </w:t>
      </w:r>
      <m:oMath>
        <m:r>
          <m:rPr>
            <m:sty m:val="b"/>
          </m:rPr>
          <m:t>T</m:t>
        </m:r>
      </m:oMath>
      <w:r>
        <w:t xml:space="preserve"> </w:t>
      </w:r>
      <w:r>
        <w:t xml:space="preserve">is calculated at infinitesimal increments,</w:t>
      </w:r>
      <w:r>
        <w:t xml:space="preserve"> </w:t>
      </w:r>
      <m:oMath>
        <m:r>
          <m:t>d</m:t>
        </m:r>
        <m:r>
          <m:t>s</m:t>
        </m:r>
      </m:oMath>
      <w:r>
        <w:t xml:space="preserve"> </w:t>
      </w:r>
      <w:r>
        <w:t xml:space="preserve">along the curve. 4. Curvature is calculated as the rate of change of the tangent vectors at every point along the curve. Total curvature is calculated by the methods outlined in Section 3.</w:t>
      </w:r>
    </w:p>
    <w:p>
      <w:pPr>
        <w:pStyle w:val="BodyText"/>
      </w:pPr>
      <w:r>
        <w:t xml:space="preserve">Comment on why using we’re using polynomials and not splines, fourier, etc.</w:t>
      </w:r>
    </w:p>
    <w:p>
      <w:pPr>
        <w:pStyle w:val="Heading4"/>
      </w:pPr>
      <w:bookmarkStart w:id="36" w:name="Xe98c6fd457a4c76973c7232e837f8a2ed19fd3d"/>
      <w:r>
        <w:t xml:space="preserve">5. Proof of concept: A study of the development of curvature in</w:t>
      </w:r>
      <w:r>
        <w:t xml:space="preserve"> </w:t>
      </w:r>
      <w:r>
        <w:rPr>
          <w:i/>
        </w:rPr>
        <w:t xml:space="preserve">Epimedium</w:t>
      </w:r>
      <w:bookmarkEnd w:id="36"/>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S2).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7">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38">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(Table S3).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S3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9"/>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similar once sepal size exceeds 20mm:</w:t>
      </w:r>
    </w:p>
    <w:p>
      <w:pPr>
        <w:pStyle w:val="CaptionedFigure"/>
      </w:pPr>
      <w:r>
        <w:drawing>
          <wp:inline>
            <wp:extent cx="5943600" cy="4731105"/>
            <wp:effectExtent b="0" l="0" r="0" t="0"/>
            <wp:docPr descr="Figure 6: size vs curvature" title="" id="1" name="Picture"/>
            <a:graphic>
              <a:graphicData uri="http://schemas.openxmlformats.org/drawingml/2006/picture">
                <pic:pic>
                  <pic:nvPicPr>
                    <pic:cNvPr descr="Figures/Figure_6.jpeg" id="0" name="Picture"/>
                    <pic:cNvPicPr>
                      <a:picLocks noChangeArrowheads="1" noChangeAspect="1"/>
                    </pic:cNvPicPr>
                  </pic:nvPicPr>
                  <pic:blipFill>
                    <a:blip r:embed="rId40"/>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6: size vs curvature</w:t>
      </w:r>
    </w:p>
    <w:p>
      <w:pPr>
        <w:pStyle w:val="BodyText"/>
      </w:pPr>
      <w:r>
        <w:t xml:space="preserve"> </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 </w:t>
      </w:r>
    </w:p>
    <w:p>
      <w:pPr>
        <w:pStyle w:val="TableCaption"/>
      </w:pPr>
      <w:r>
        <w:t xml:space="preserve">Table 1: Additional literature reviewed for the role of curvature in plant-pollinator systems.</w:t>
      </w:r>
    </w:p>
    <w:tbl>
      <w:tblPr>
        <w:tblStyle w:val="Table"/>
        <w:tblW w:type="pct" w:w="0.0"/>
        <w:tblLook w:firstRow="1"/>
        <w:tblCaption w:val="Table 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baldwin_1931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hamilton_1975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ruan_2008</w:t>
            </w:r>
          </w:p>
        </w:tc>
        <w:tc>
          <w:p>
            <w:pPr>
              <w:pStyle w:val="Compact"/>
              <w:jc w:val="left"/>
            </w:pPr>
            <w:r>
              <w:t xml:space="preserve">The impact of pollen tube growth on stigma lobe curvature in Kosteletzkya virginica: the best of both worlds</w:t>
            </w:r>
          </w:p>
        </w:tc>
        <w:tc>
          <w:p>
            <w:pPr>
              <w:pStyle w:val="Compact"/>
              <w:jc w:val="left"/>
            </w:pPr>
            <w:r>
              <w:t xml:space="preserve">qualitative</w:t>
            </w:r>
          </w:p>
        </w:tc>
      </w:tr>
      <w:tr>
        <w:tc>
          <w:p>
            <w:pPr>
              <w:pStyle w:val="Compact"/>
              <w:jc w:val="left"/>
            </w:pPr>
            <w:r>
              <w:t xml:space="preserve">kawabata_2009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dalayap_2011</w:t>
            </w:r>
          </w:p>
        </w:tc>
        <w:tc>
          <w:p>
            <w:pPr>
              <w:pStyle w:val="Compact"/>
              <w:jc w:val="left"/>
            </w:pPr>
            <w:r>
              <w:t xml:space="preserve">Petal, sepal, and labellum shapes in Mokara orchids</w:t>
            </w:r>
          </w:p>
        </w:tc>
        <w:tc>
          <w:p>
            <w:pPr>
              <w:pStyle w:val="Compact"/>
              <w:jc w:val="left"/>
            </w:pPr>
            <w:r>
              <w:t xml:space="preserve">Outline morphometrics</w:t>
            </w:r>
          </w:p>
        </w:tc>
      </w:tr>
      <w:tr>
        <w:tc>
          <w:p>
            <w:pPr>
              <w:pStyle w:val="Compact"/>
              <w:jc w:val="left"/>
            </w:pPr>
            <w:r>
              <w:t xml:space="preserve">nii_2011</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w:t>
            </w:r>
          </w:p>
        </w:tc>
        <w:tc>
          <w:p>
            <w:pPr>
              <w:pStyle w:val="Compact"/>
              <w:jc w:val="left"/>
            </w:pPr>
            <w:r>
              <w:t xml:space="preserve">Fourier Transform, but lacks units for curvature K</w:t>
            </w:r>
          </w:p>
        </w:tc>
      </w:tr>
      <w:tr>
        <w:tc>
          <w:p>
            <w:pPr>
              <w:pStyle w:val="Compact"/>
              <w:jc w:val="left"/>
            </w:pPr>
            <w:r>
              <w:t xml:space="preserve">berger_2017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dellinger_2018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joly_2018</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pour_2018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song_2018</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bl>
    <w:p>
      <w:pPr>
        <w:pStyle w:val="BodyText"/>
      </w:pPr>
      <w:r>
        <w:t xml:space="preserve"> </w:t>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BodyText"/>
      </w:pPr>
      <w:r>
        <w:t xml:space="preserve"> </w:t>
      </w:r>
    </w:p>
    <w:p>
      <w:pPr>
        <w:pStyle w:val="CaptionedFigure"/>
      </w:pPr>
      <w:r>
        <w:drawing>
          <wp:inline>
            <wp:extent cx="5943600" cy="3343275"/>
            <wp:effectExtent b="0" l="0" r="0" t="0"/>
            <wp:docPr descr="Figure S2. Landmarking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4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Landmarking</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CaptionedFigure"/>
      </w:pPr>
      <w:r>
        <w:drawing>
          <wp:inline>
            <wp:extent cx="5943600" cy="2133752"/>
            <wp:effectExtent b="0" l="0" r="0" t="0"/>
            <wp:docPr descr="Figure S3. Logistic growth of Epimedium flowers" title="" id="1" name="Picture"/>
            <a:graphic>
              <a:graphicData uri="http://schemas.openxmlformats.org/drawingml/2006/picture">
                <pic:pic>
                  <pic:nvPicPr>
                    <pic:cNvPr descr="Figures/Figure_S3.jpeg" id="0" name="Picture"/>
                    <pic:cNvPicPr>
                      <a:picLocks noChangeArrowheads="1" noChangeAspect="1"/>
                    </pic:cNvPicPr>
                  </pic:nvPicPr>
                  <pic:blipFill>
                    <a:blip r:embed="rId43"/>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S3. Logistic growth of Epimedium flowers</w:t>
      </w:r>
    </w:p>
    <w:p>
      <w:pPr>
        <w:pStyle w:val="Heading1"/>
      </w:pPr>
      <w:bookmarkStart w:id="44" w:name="references"/>
      <w:r>
        <w:t xml:space="preserve">References</w:t>
      </w:r>
      <w:bookmarkEnd w:id="44"/>
    </w:p>
    <w:p>
      <w:pPr>
        <w:pStyle w:val="FirstParagraph"/>
      </w:pPr>
    </w:p>
    <w:bookmarkStart w:id="90" w:name="refs"/>
    <w:bookmarkStart w:id="45"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5"/>
    <w:bookmarkStart w:id="46"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6"/>
    <w:bookmarkStart w:id="47" w:name="ref-baldwin_1931"/>
    <w:p>
      <w:pPr>
        <w:pStyle w:val="Bibliography"/>
      </w:pPr>
      <w:r>
        <w:t xml:space="preserve">Baldwin, S.P., Oberholser, H.C., and Worley, L.G. (1931). Measurements of birds (Cleveland Museum of Natural History).</w:t>
      </w:r>
    </w:p>
    <w:bookmarkEnd w:id="47"/>
    <w:bookmarkStart w:id="48"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8"/>
    <w:bookmarkStart w:id="49" w:name="ref-bell_1956"/>
    <w:p>
      <w:pPr>
        <w:pStyle w:val="Bibliography"/>
      </w:pPr>
      <w:r>
        <w:t xml:space="preserve">Bell, J. (1956). 2619. Tangent, chord theorem. The Mathematical Gazette</w:t>
      </w:r>
      <w:r>
        <w:t xml:space="preserve"> </w:t>
      </w:r>
      <w:r>
        <w:rPr>
          <w:i/>
        </w:rPr>
        <w:t xml:space="preserve">40</w:t>
      </w:r>
      <w:r>
        <w:t xml:space="preserve">, 211–212.</w:t>
      </w:r>
    </w:p>
    <w:bookmarkEnd w:id="49"/>
    <w:bookmarkStart w:id="50"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0"/>
    <w:bookmarkStart w:id="51"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1"/>
    <w:bookmarkStart w:id="52"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2"/>
    <w:bookmarkStart w:id="53"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3"/>
    <w:bookmarkStart w:id="54" w:name="ref-bookstein_1997"/>
    <w:p>
      <w:pPr>
        <w:pStyle w:val="Bibliography"/>
      </w:pPr>
      <w:r>
        <w:t xml:space="preserve">Bookstein, F.L. (1997). Morphometric tools for landmark data: Geometry and biology (Cambridge University Press).</w:t>
      </w:r>
    </w:p>
    <w:bookmarkEnd w:id="54"/>
    <w:bookmarkStart w:id="55" w:name="ref-borchers_2019"/>
    <w:p>
      <w:pPr>
        <w:pStyle w:val="Bibliography"/>
      </w:pPr>
      <w:r>
        <w:t xml:space="preserve">Borchers, H.W. (2019). Pracma: Practical numerical math functions. R package version 2.2.5.</w:t>
      </w:r>
    </w:p>
    <w:bookmarkEnd w:id="55"/>
    <w:bookmarkStart w:id="56" w:name="ref-casey_1996"/>
    <w:p>
      <w:pPr>
        <w:pStyle w:val="Bibliography"/>
      </w:pPr>
      <w:r>
        <w:t xml:space="preserve">Casey, J. (1996). Exploring curvature (Braunschweig, Germany: Friedr. Vieweg &amp; Sohn Verlagsgesellschaft mbH).</w:t>
      </w:r>
    </w:p>
    <w:bookmarkEnd w:id="56"/>
    <w:bookmarkStart w:id="57"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7"/>
    <w:bookmarkStart w:id="58"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8"/>
    <w:bookmarkStart w:id="59"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9"/>
    <w:bookmarkStart w:id="60"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0"/>
    <w:bookmarkStart w:id="61"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1"/>
    <w:bookmarkStart w:id="62"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2"/>
    <w:bookmarkStart w:id="63"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3"/>
    <w:bookmarkStart w:id="64"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4"/>
    <w:bookmarkStart w:id="65"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5"/>
    <w:bookmarkStart w:id="66"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6"/>
    <w:bookmarkStart w:id="67"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67"/>
    <w:bookmarkStart w:id="68"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68"/>
    <w:bookmarkStart w:id="69"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69"/>
    <w:bookmarkStart w:id="70" w:name="ref-minnaar_2019"/>
    <w:p>
      <w:pPr>
        <w:pStyle w:val="Bibliography"/>
      </w:pPr>
      <w:r>
        <w:t xml:space="preserve">Minnaar, C., Jager, M. de, and Anderson, B. (2019). Intraspecific divergence in floral-tube length promotes asymmetric pollen movement and reproductive isolation. New Phytologist.</w:t>
      </w:r>
    </w:p>
    <w:bookmarkEnd w:id="70"/>
    <w:bookmarkStart w:id="71"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71"/>
    <w:bookmarkStart w:id="72"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72"/>
    <w:bookmarkStart w:id="73"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73"/>
    <w:bookmarkStart w:id="74" w:name="ref-robertson_1889"/>
    <w:p>
      <w:pPr>
        <w:pStyle w:val="Bibliography"/>
      </w:pPr>
      <w:r>
        <w:t xml:space="preserve">Robertson, C. (1889). Flowers and insects. II. Botanical Gazette</w:t>
      </w:r>
      <w:r>
        <w:t xml:space="preserve"> </w:t>
      </w:r>
      <w:r>
        <w:rPr>
          <w:i/>
        </w:rPr>
        <w:t xml:space="preserve">14</w:t>
      </w:r>
      <w:r>
        <w:t xml:space="preserve">, 172–178.</w:t>
      </w:r>
    </w:p>
    <w:bookmarkEnd w:id="74"/>
    <w:bookmarkStart w:id="75" w:name="ref-rohlf_2015"/>
    <w:p>
      <w:pPr>
        <w:pStyle w:val="Bibliography"/>
      </w:pPr>
      <w:r>
        <w:t xml:space="preserve">Rohlf, F.J. (2015). The tps series of software. Hystrix</w:t>
      </w:r>
      <w:r>
        <w:t xml:space="preserve"> </w:t>
      </w:r>
      <w:r>
        <w:rPr>
          <w:i/>
        </w:rPr>
        <w:t xml:space="preserve">26</w:t>
      </w:r>
      <w:r>
        <w:t xml:space="preserve">.</w:t>
      </w:r>
    </w:p>
    <w:bookmarkEnd w:id="75"/>
    <w:bookmarkStart w:id="76"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76"/>
    <w:bookmarkStart w:id="7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77"/>
    <w:bookmarkStart w:id="78" w:name="ref-rutter_2000"/>
    <w:p>
      <w:pPr>
        <w:pStyle w:val="Bibliography"/>
      </w:pPr>
      <w:r>
        <w:t xml:space="preserve">Rutter, J.W. (2000). Geometry of curves (Boca Raton, FL: CRC Press, Taylor; Francis Group).</w:t>
      </w:r>
    </w:p>
    <w:bookmarkEnd w:id="78"/>
    <w:bookmarkStart w:id="7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79"/>
    <w:bookmarkStart w:id="80"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80"/>
    <w:bookmarkStart w:id="81"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81"/>
    <w:bookmarkStart w:id="82"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82"/>
    <w:bookmarkStart w:id="83"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83"/>
    <w:bookmarkStart w:id="84"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84"/>
    <w:bookmarkStart w:id="85"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85"/>
    <w:bookmarkStart w:id="86"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86"/>
    <w:bookmarkStart w:id="87"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87"/>
    <w:bookmarkStart w:id="88"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88"/>
    <w:bookmarkStart w:id="89"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89"/>
    <w:bookmarkEnd w:id="90"/>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1" Target="Figures/Figure_3" TargetMode="External" /><Relationship Type="http://schemas.openxmlformats.org/officeDocument/2006/relationships/hyperlink" Id="rId30" Target="Figures/Figure_3.jpg" TargetMode="External" /><Relationship Type="http://schemas.openxmlformats.org/officeDocument/2006/relationships/hyperlink" Id="rId34" Target="Figures/Figure_4.jpg" TargetMode="External" /><Relationship Type="http://schemas.openxmlformats.org/officeDocument/2006/relationships/hyperlink" Id="rId37" Target="Figures/Figure_5.jpeg" TargetMode="External" /><Relationship Type="http://schemas.openxmlformats.org/officeDocument/2006/relationships/hyperlink" Id="rId25" Target="Figures/Figure_S1.jpg" TargetMode="External" /><Relationship Type="http://schemas.openxmlformats.org/officeDocument/2006/relationships/hyperlink" Id="rId38"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1" Target="Figures/Figure_3" TargetMode="External" /><Relationship Type="http://schemas.openxmlformats.org/officeDocument/2006/relationships/hyperlink" Id="rId30" Target="Figures/Figure_3.jpg" TargetMode="External" /><Relationship Type="http://schemas.openxmlformats.org/officeDocument/2006/relationships/hyperlink" Id="rId34" Target="Figures/Figure_4.jpg" TargetMode="External" /><Relationship Type="http://schemas.openxmlformats.org/officeDocument/2006/relationships/hyperlink" Id="rId37" Target="Figures/Figure_5.jpeg" TargetMode="External" /><Relationship Type="http://schemas.openxmlformats.org/officeDocument/2006/relationships/hyperlink" Id="rId25" Target="Figures/Figure_S1.jpg" TargetMode="External" /><Relationship Type="http://schemas.openxmlformats.org/officeDocument/2006/relationships/hyperlink" Id="rId38"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2020-01-13T19:20:59Z</dcterms:created>
  <dcterms:modified xsi:type="dcterms:W3CDTF">2020-01-13T19:20:59Z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