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3919B" w14:textId="018F5D01" w:rsidR="000A251C" w:rsidRPr="00C2290E" w:rsidRDefault="000A251C">
      <w:pPr>
        <w:rPr>
          <w:rFonts w:ascii="Times New Roman" w:hAnsi="Times New Roman" w:cs="Times New Roman"/>
        </w:rPr>
      </w:pPr>
      <w:r w:rsidRPr="00C2290E">
        <w:rPr>
          <w:rFonts w:ascii="Times New Roman" w:hAnsi="Times New Roman" w:cs="Times New Roman"/>
        </w:rPr>
        <w:t xml:space="preserve">COVID outcomes </w:t>
      </w:r>
      <w:r w:rsidR="00C2290E" w:rsidRPr="00C2290E">
        <w:rPr>
          <w:rFonts w:ascii="Times New Roman" w:hAnsi="Times New Roman" w:cs="Times New Roman"/>
        </w:rPr>
        <w:t xml:space="preserve">we aim those that allow us to optimize our sample size by selecting the </w:t>
      </w:r>
      <w:r w:rsidRPr="00C2290E">
        <w:rPr>
          <w:rFonts w:ascii="Times New Roman" w:hAnsi="Times New Roman" w:cs="Times New Roman"/>
          <w:b/>
          <w:bCs/>
        </w:rPr>
        <w:t>largest number of cases</w:t>
      </w:r>
      <w:r w:rsidRPr="00C2290E">
        <w:rPr>
          <w:rFonts w:ascii="Times New Roman" w:hAnsi="Times New Roman" w:cs="Times New Roman"/>
        </w:rPr>
        <w:t>:</w:t>
      </w:r>
    </w:p>
    <w:p w14:paraId="62D15E7F" w14:textId="6C813AB8" w:rsidR="00C2290E" w:rsidRPr="00C2290E" w:rsidRDefault="00C2290E">
      <w:pPr>
        <w:rPr>
          <w:rFonts w:ascii="Times New Roman" w:hAnsi="Times New Roman" w:cs="Times New Roman"/>
        </w:rPr>
      </w:pPr>
    </w:p>
    <w:p w14:paraId="34B68966" w14:textId="2F206E99" w:rsidR="00C2290E" w:rsidRPr="00C2290E" w:rsidRDefault="00C2290E" w:rsidP="00C2290E">
      <w:pPr>
        <w:pStyle w:val="ListParagraph"/>
        <w:numPr>
          <w:ilvl w:val="0"/>
          <w:numId w:val="1"/>
        </w:numPr>
        <w:rPr>
          <w:rFonts w:ascii="Times New Roman" w:hAnsi="Times New Roman" w:cs="Times New Roman"/>
          <w:u w:val="single"/>
        </w:rPr>
      </w:pPr>
      <w:r w:rsidRPr="00C2290E">
        <w:rPr>
          <w:rFonts w:ascii="Times New Roman" w:hAnsi="Times New Roman" w:cs="Times New Roman"/>
          <w:u w:val="single"/>
        </w:rPr>
        <w:t>WHO Working Group on the Clinical Characterization and Management of COVID-19 infection</w:t>
      </w:r>
    </w:p>
    <w:p w14:paraId="7D911D61" w14:textId="77777777" w:rsidR="00C2290E" w:rsidRPr="00C2290E" w:rsidRDefault="00C2290E">
      <w:pPr>
        <w:rPr>
          <w:rFonts w:ascii="Times New Roman" w:hAnsi="Times New Roman" w:cs="Times New Roman"/>
        </w:rPr>
      </w:pPr>
    </w:p>
    <w:p w14:paraId="094C1B06" w14:textId="2EE3F5BD" w:rsidR="00C2290E" w:rsidRPr="00C2290E" w:rsidRDefault="00C2290E" w:rsidP="00C2290E">
      <w:pPr>
        <w:rPr>
          <w:rFonts w:ascii="Times New Roman" w:hAnsi="Times New Roman" w:cs="Times New Roman"/>
        </w:rPr>
      </w:pPr>
      <w:r w:rsidRPr="00C2290E">
        <w:rPr>
          <w:rFonts w:ascii="Times New Roman" w:hAnsi="Times New Roman" w:cs="Times New Roman"/>
        </w:rPr>
        <w:t>T</w:t>
      </w:r>
      <w:r w:rsidRPr="003A7BFF">
        <w:rPr>
          <w:rFonts w:ascii="Times New Roman" w:hAnsi="Times New Roman" w:cs="Times New Roman"/>
        </w:rPr>
        <w:t>he International Forum for Acute Care Trialists, and the International Severe Acute Respiratory and Emerging Infections Consortium have developed a minimum set of common outcome measures for studies of COVID-19. This set includes three elements:</w:t>
      </w:r>
    </w:p>
    <w:p w14:paraId="7A5731EB" w14:textId="77777777" w:rsidR="00C2290E" w:rsidRPr="00C2290E" w:rsidRDefault="00C2290E" w:rsidP="00C2290E">
      <w:pPr>
        <w:rPr>
          <w:rFonts w:ascii="Times New Roman" w:hAnsi="Times New Roman" w:cs="Times New Roman"/>
        </w:rPr>
      </w:pPr>
    </w:p>
    <w:p w14:paraId="47B579D0" w14:textId="77777777" w:rsidR="00C2290E" w:rsidRPr="00C2290E" w:rsidRDefault="00C2290E" w:rsidP="00C2290E">
      <w:pPr>
        <w:pStyle w:val="ListParagraph"/>
        <w:numPr>
          <w:ilvl w:val="0"/>
          <w:numId w:val="2"/>
        </w:numPr>
        <w:rPr>
          <w:rFonts w:ascii="Times New Roman" w:hAnsi="Times New Roman" w:cs="Times New Roman"/>
        </w:rPr>
      </w:pPr>
      <w:r w:rsidRPr="00C2290E">
        <w:rPr>
          <w:rFonts w:ascii="Times New Roman" w:hAnsi="Times New Roman" w:cs="Times New Roman"/>
        </w:rPr>
        <w:t xml:space="preserve">Measure of viral burden (quantitative PCR or cycle threshold), </w:t>
      </w:r>
    </w:p>
    <w:p w14:paraId="180F0917" w14:textId="77777777" w:rsidR="00C2290E" w:rsidRPr="00C2290E" w:rsidRDefault="00C2290E" w:rsidP="00C2290E">
      <w:pPr>
        <w:pStyle w:val="ListParagraph"/>
        <w:numPr>
          <w:ilvl w:val="0"/>
          <w:numId w:val="2"/>
        </w:numPr>
        <w:rPr>
          <w:rFonts w:ascii="Times New Roman" w:hAnsi="Times New Roman" w:cs="Times New Roman"/>
        </w:rPr>
      </w:pPr>
      <w:r w:rsidRPr="00C2290E">
        <w:rPr>
          <w:rFonts w:ascii="Times New Roman" w:hAnsi="Times New Roman" w:cs="Times New Roman"/>
        </w:rPr>
        <w:t>Measure of patient survival (mortality at hospital discharge or at 60 days)</w:t>
      </w:r>
    </w:p>
    <w:p w14:paraId="13DC79BF" w14:textId="220D1F94" w:rsidR="00C2290E" w:rsidRPr="00C2290E" w:rsidRDefault="00C2290E" w:rsidP="00C2290E">
      <w:pPr>
        <w:pStyle w:val="ListParagraph"/>
        <w:numPr>
          <w:ilvl w:val="0"/>
          <w:numId w:val="2"/>
        </w:numPr>
        <w:rPr>
          <w:rFonts w:ascii="Times New Roman" w:hAnsi="Times New Roman" w:cs="Times New Roman"/>
        </w:rPr>
      </w:pPr>
      <w:r w:rsidRPr="00C2290E">
        <w:rPr>
          <w:rFonts w:ascii="Times New Roman" w:hAnsi="Times New Roman" w:cs="Times New Roman"/>
        </w:rPr>
        <w:t>Measure of patient progression through the health-care system by use of the WHO Clinical Progression Scale (figure 1), which reflects patient trajectory and resource use over the course of clinical illness.</w:t>
      </w:r>
    </w:p>
    <w:p w14:paraId="0C374552" w14:textId="77777777" w:rsidR="00C2290E" w:rsidRPr="00C2290E" w:rsidRDefault="003F54AD" w:rsidP="00C2290E">
      <w:pPr>
        <w:rPr>
          <w:rFonts w:ascii="Times New Roman" w:hAnsi="Times New Roman" w:cs="Times New Roman"/>
        </w:rPr>
      </w:pPr>
      <w:hyperlink r:id="rId5" w:anchor="seccestitle80%20bec" w:history="1">
        <w:r w:rsidR="00C2290E" w:rsidRPr="00C2290E">
          <w:rPr>
            <w:rStyle w:val="Hyperlink"/>
            <w:rFonts w:ascii="Times New Roman" w:hAnsi="Times New Roman" w:cs="Times New Roman"/>
          </w:rPr>
          <w:t>https://www.thelancet.com/journals/laninf/article/PIIS1473-3099(20)30483-7/fulltext#seccestitle80%20bec</w:t>
        </w:r>
      </w:hyperlink>
    </w:p>
    <w:p w14:paraId="3F6AFF5B" w14:textId="77777777" w:rsidR="00C2290E" w:rsidRPr="003A7BFF" w:rsidRDefault="00C2290E" w:rsidP="00C2290E">
      <w:pPr>
        <w:rPr>
          <w:rFonts w:ascii="Times New Roman" w:hAnsi="Times New Roman" w:cs="Times New Roman"/>
        </w:rPr>
      </w:pPr>
    </w:p>
    <w:p w14:paraId="06D3121D" w14:textId="77777777" w:rsidR="00C2290E" w:rsidRPr="00C2290E" w:rsidRDefault="00C2290E" w:rsidP="00C2290E">
      <w:pPr>
        <w:rPr>
          <w:rFonts w:ascii="Times New Roman" w:hAnsi="Times New Roman" w:cs="Times New Roman"/>
        </w:rPr>
      </w:pPr>
      <w:r w:rsidRPr="00C2290E">
        <w:rPr>
          <w:rFonts w:ascii="Times New Roman" w:hAnsi="Times New Roman" w:cs="Times New Roman"/>
          <w:noProof/>
        </w:rPr>
        <w:drawing>
          <wp:inline distT="0" distB="0" distL="0" distR="0" wp14:anchorId="5530C0EB" wp14:editId="4A65E5F7">
            <wp:extent cx="4711700" cy="3162300"/>
            <wp:effectExtent l="0" t="0" r="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11700" cy="3162300"/>
                    </a:xfrm>
                    <a:prstGeom prst="rect">
                      <a:avLst/>
                    </a:prstGeom>
                  </pic:spPr>
                </pic:pic>
              </a:graphicData>
            </a:graphic>
          </wp:inline>
        </w:drawing>
      </w:r>
    </w:p>
    <w:p w14:paraId="6A6AA405" w14:textId="77777777" w:rsidR="00C2290E" w:rsidRPr="00C2290E" w:rsidRDefault="00C2290E" w:rsidP="00C2290E">
      <w:pPr>
        <w:rPr>
          <w:rFonts w:ascii="Times New Roman" w:hAnsi="Times New Roman" w:cs="Times New Roman"/>
        </w:rPr>
      </w:pPr>
    </w:p>
    <w:p w14:paraId="18234A95" w14:textId="2032F846" w:rsidR="00C2290E" w:rsidRPr="00C2290E" w:rsidRDefault="00C2290E" w:rsidP="00C2290E">
      <w:pPr>
        <w:pStyle w:val="ListParagraph"/>
        <w:numPr>
          <w:ilvl w:val="0"/>
          <w:numId w:val="1"/>
        </w:numPr>
        <w:rPr>
          <w:rFonts w:ascii="Times New Roman" w:hAnsi="Times New Roman" w:cs="Times New Roman"/>
          <w:u w:val="single"/>
        </w:rPr>
      </w:pPr>
      <w:r w:rsidRPr="00C2290E">
        <w:rPr>
          <w:rFonts w:ascii="Times New Roman" w:hAnsi="Times New Roman" w:cs="Times New Roman"/>
          <w:u w:val="single"/>
        </w:rPr>
        <w:t>NIAID score</w:t>
      </w:r>
    </w:p>
    <w:p w14:paraId="1CF0E5C9" w14:textId="77777777" w:rsidR="00C2290E" w:rsidRPr="00C2290E" w:rsidRDefault="00C2290E" w:rsidP="00C2290E">
      <w:pPr>
        <w:rPr>
          <w:rFonts w:ascii="Times New Roman" w:hAnsi="Times New Roman" w:cs="Times New Roman"/>
        </w:rPr>
      </w:pPr>
    </w:p>
    <w:p w14:paraId="60AC1793" w14:textId="77777777" w:rsidR="00C2290E" w:rsidRPr="00C2290E" w:rsidRDefault="00C2290E" w:rsidP="00C2290E">
      <w:pPr>
        <w:rPr>
          <w:rFonts w:ascii="Times New Roman" w:hAnsi="Times New Roman" w:cs="Times New Roman"/>
        </w:rPr>
      </w:pPr>
      <w:r w:rsidRPr="00C2290E">
        <w:rPr>
          <w:rFonts w:ascii="Times New Roman" w:hAnsi="Times New Roman" w:cs="Times New Roman"/>
        </w:rPr>
        <w:t xml:space="preserve">The primary outcome measure was the time to recovery, defined as the first day, during the 28 days after enrollment, on which a patient satisfied categories 1, 2, or 3 on the eight-category ordinal scale. The categories are as follows: </w:t>
      </w:r>
    </w:p>
    <w:p w14:paraId="45114E26" w14:textId="77777777" w:rsidR="00C2290E" w:rsidRPr="00C2290E" w:rsidRDefault="00C2290E" w:rsidP="00C2290E">
      <w:pPr>
        <w:rPr>
          <w:rFonts w:ascii="Times New Roman" w:hAnsi="Times New Roman" w:cs="Times New Roman"/>
        </w:rPr>
      </w:pPr>
      <w:r w:rsidRPr="00C2290E">
        <w:rPr>
          <w:rFonts w:ascii="Times New Roman" w:hAnsi="Times New Roman" w:cs="Times New Roman"/>
        </w:rPr>
        <w:t xml:space="preserve">1, not hospitalized, no limitations of activities; </w:t>
      </w:r>
    </w:p>
    <w:p w14:paraId="43EFE949" w14:textId="77777777" w:rsidR="00C2290E" w:rsidRPr="00C2290E" w:rsidRDefault="00C2290E" w:rsidP="00C2290E">
      <w:pPr>
        <w:rPr>
          <w:rFonts w:ascii="Times New Roman" w:hAnsi="Times New Roman" w:cs="Times New Roman"/>
        </w:rPr>
      </w:pPr>
      <w:r w:rsidRPr="00C2290E">
        <w:rPr>
          <w:rFonts w:ascii="Times New Roman" w:hAnsi="Times New Roman" w:cs="Times New Roman"/>
        </w:rPr>
        <w:t xml:space="preserve">2, not hospitalized, limitation of activities, home oxygen requirement, or both; </w:t>
      </w:r>
    </w:p>
    <w:p w14:paraId="65D57B6C" w14:textId="77777777" w:rsidR="00C2290E" w:rsidRPr="00C2290E" w:rsidRDefault="00C2290E" w:rsidP="00C2290E">
      <w:pPr>
        <w:rPr>
          <w:rFonts w:ascii="Times New Roman" w:hAnsi="Times New Roman" w:cs="Times New Roman"/>
        </w:rPr>
      </w:pPr>
      <w:r w:rsidRPr="00C2290E">
        <w:rPr>
          <w:rFonts w:ascii="Times New Roman" w:hAnsi="Times New Roman" w:cs="Times New Roman"/>
        </w:rPr>
        <w:t xml:space="preserve">3, hospitalized, not requiring supplemental oxygen and no longer requiring ongoing medical care (used if hospitalization was extended for infection-control reasons); </w:t>
      </w:r>
    </w:p>
    <w:p w14:paraId="49ECB946" w14:textId="77777777" w:rsidR="00C2290E" w:rsidRPr="00C2290E" w:rsidRDefault="00C2290E" w:rsidP="00C2290E">
      <w:pPr>
        <w:rPr>
          <w:rFonts w:ascii="Times New Roman" w:hAnsi="Times New Roman" w:cs="Times New Roman"/>
        </w:rPr>
      </w:pPr>
      <w:r w:rsidRPr="00C2290E">
        <w:rPr>
          <w:rFonts w:ascii="Times New Roman" w:hAnsi="Times New Roman" w:cs="Times New Roman"/>
        </w:rPr>
        <w:lastRenderedPageBreak/>
        <w:t xml:space="preserve">4, hospitalized, not requiring supplemental oxygen but requiring ongoing medical care (Covid-19–related or other medical conditions); </w:t>
      </w:r>
    </w:p>
    <w:p w14:paraId="198C8082" w14:textId="77777777" w:rsidR="00C2290E" w:rsidRPr="00C2290E" w:rsidRDefault="00C2290E" w:rsidP="00C2290E">
      <w:pPr>
        <w:rPr>
          <w:rFonts w:ascii="Times New Roman" w:hAnsi="Times New Roman" w:cs="Times New Roman"/>
        </w:rPr>
      </w:pPr>
      <w:r w:rsidRPr="00C2290E">
        <w:rPr>
          <w:rFonts w:ascii="Times New Roman" w:hAnsi="Times New Roman" w:cs="Times New Roman"/>
        </w:rPr>
        <w:t xml:space="preserve">5, hospitalized, requiring any supplemental oxygen; </w:t>
      </w:r>
    </w:p>
    <w:p w14:paraId="3E2AB90B" w14:textId="77777777" w:rsidR="00C2290E" w:rsidRPr="00C2290E" w:rsidRDefault="00C2290E" w:rsidP="00C2290E">
      <w:pPr>
        <w:rPr>
          <w:rFonts w:ascii="Times New Roman" w:hAnsi="Times New Roman" w:cs="Times New Roman"/>
        </w:rPr>
      </w:pPr>
      <w:r w:rsidRPr="00C2290E">
        <w:rPr>
          <w:rFonts w:ascii="Times New Roman" w:hAnsi="Times New Roman" w:cs="Times New Roman"/>
        </w:rPr>
        <w:t xml:space="preserve">6, hospitalized, requiring noninvasive ventilation or use of high-flow oxygen devices; </w:t>
      </w:r>
    </w:p>
    <w:p w14:paraId="0809AF38" w14:textId="77777777" w:rsidR="00C2290E" w:rsidRPr="00C2290E" w:rsidRDefault="00C2290E" w:rsidP="00C2290E">
      <w:pPr>
        <w:rPr>
          <w:rFonts w:ascii="Times New Roman" w:hAnsi="Times New Roman" w:cs="Times New Roman"/>
        </w:rPr>
      </w:pPr>
      <w:r w:rsidRPr="00C2290E">
        <w:rPr>
          <w:rFonts w:ascii="Times New Roman" w:hAnsi="Times New Roman" w:cs="Times New Roman"/>
        </w:rPr>
        <w:t xml:space="preserve">7, hospitalized, receiving invasive mechanical ventilation or extracorporeal membrane oxygenation (ECMO); and </w:t>
      </w:r>
    </w:p>
    <w:p w14:paraId="7693B11C" w14:textId="77777777" w:rsidR="00C2290E" w:rsidRPr="00C2290E" w:rsidRDefault="00C2290E" w:rsidP="00C2290E">
      <w:pPr>
        <w:rPr>
          <w:rFonts w:ascii="Times New Roman" w:hAnsi="Times New Roman" w:cs="Times New Roman"/>
        </w:rPr>
      </w:pPr>
      <w:r w:rsidRPr="00C2290E">
        <w:rPr>
          <w:rFonts w:ascii="Times New Roman" w:hAnsi="Times New Roman" w:cs="Times New Roman"/>
        </w:rPr>
        <w:t xml:space="preserve">8, death. </w:t>
      </w:r>
    </w:p>
    <w:p w14:paraId="1AFE811A" w14:textId="77777777" w:rsidR="00C2290E" w:rsidRPr="00C2290E" w:rsidRDefault="00C2290E" w:rsidP="00C2290E">
      <w:pPr>
        <w:rPr>
          <w:rFonts w:ascii="Times New Roman" w:hAnsi="Times New Roman" w:cs="Times New Roman"/>
        </w:rPr>
      </w:pPr>
      <w:r w:rsidRPr="00C2290E">
        <w:rPr>
          <w:rFonts w:ascii="Times New Roman" w:hAnsi="Times New Roman" w:cs="Times New Roman"/>
        </w:rPr>
        <w:t>Other outcomes included mortality at 14 and 28 days after enrollment and grade 3 and 4 adverse events and serious adverse events that occurred during the trial.</w:t>
      </w:r>
    </w:p>
    <w:p w14:paraId="30AB74B9" w14:textId="77777777" w:rsidR="00C2290E" w:rsidRPr="00C2290E" w:rsidRDefault="00C2290E" w:rsidP="00C2290E">
      <w:pPr>
        <w:rPr>
          <w:rFonts w:ascii="Times New Roman" w:hAnsi="Times New Roman" w:cs="Times New Roman"/>
        </w:rPr>
      </w:pPr>
    </w:p>
    <w:p w14:paraId="3CA9B27A" w14:textId="77777777" w:rsidR="00C2290E" w:rsidRPr="00C2290E" w:rsidRDefault="00C2290E" w:rsidP="00C2290E">
      <w:pPr>
        <w:rPr>
          <w:rFonts w:ascii="Times New Roman" w:hAnsi="Times New Roman" w:cs="Times New Roman"/>
        </w:rPr>
      </w:pPr>
      <w:r w:rsidRPr="00C2290E">
        <w:rPr>
          <w:rFonts w:ascii="Times New Roman" w:hAnsi="Times New Roman" w:cs="Times New Roman"/>
        </w:rPr>
        <w:t>https://www-nejm-org.ezp-prod1.hul.harvard.edu/doi/full/10.1056/NEJMoa2007764</w:t>
      </w:r>
    </w:p>
    <w:p w14:paraId="50312B04" w14:textId="77777777" w:rsidR="00C2290E" w:rsidRPr="00C2290E" w:rsidRDefault="00C2290E">
      <w:pPr>
        <w:rPr>
          <w:rFonts w:ascii="Times New Roman" w:hAnsi="Times New Roman" w:cs="Times New Roman"/>
        </w:rPr>
      </w:pPr>
    </w:p>
    <w:p w14:paraId="45573932" w14:textId="2D100B09" w:rsidR="000A251C" w:rsidRPr="00C2290E" w:rsidRDefault="00C2290E" w:rsidP="00C2290E">
      <w:pPr>
        <w:pStyle w:val="ListParagraph"/>
        <w:numPr>
          <w:ilvl w:val="0"/>
          <w:numId w:val="1"/>
        </w:numPr>
        <w:rPr>
          <w:rFonts w:ascii="Times New Roman" w:hAnsi="Times New Roman" w:cs="Times New Roman"/>
          <w:u w:val="single"/>
        </w:rPr>
      </w:pPr>
      <w:r w:rsidRPr="00C2290E">
        <w:rPr>
          <w:rFonts w:ascii="Times New Roman" w:hAnsi="Times New Roman" w:cs="Times New Roman"/>
          <w:u w:val="single"/>
        </w:rPr>
        <w:t>WHO-China report</w:t>
      </w:r>
    </w:p>
    <w:p w14:paraId="5B84145C" w14:textId="0E218A60" w:rsidR="00C2290E" w:rsidRPr="00C2290E" w:rsidRDefault="00C2290E" w:rsidP="00C2290E">
      <w:pPr>
        <w:rPr>
          <w:rFonts w:ascii="Times New Roman" w:hAnsi="Times New Roman" w:cs="Times New Roman"/>
        </w:rPr>
      </w:pPr>
    </w:p>
    <w:p w14:paraId="6A4FA680" w14:textId="77777777" w:rsidR="00C2290E" w:rsidRPr="00C2290E" w:rsidRDefault="00C2290E" w:rsidP="00C2290E">
      <w:pPr>
        <w:pStyle w:val="ListParagraph"/>
        <w:numPr>
          <w:ilvl w:val="0"/>
          <w:numId w:val="3"/>
        </w:numPr>
        <w:rPr>
          <w:rFonts w:ascii="Times New Roman" w:hAnsi="Times New Roman" w:cs="Times New Roman"/>
        </w:rPr>
      </w:pPr>
      <w:r w:rsidRPr="00C2290E">
        <w:rPr>
          <w:rFonts w:ascii="Times New Roman" w:hAnsi="Times New Roman" w:cs="Times New Roman"/>
        </w:rPr>
        <w:t>Mild to moderate disease: non-pneumonia and pneumonia cases</w:t>
      </w:r>
    </w:p>
    <w:p w14:paraId="0FB58CE5" w14:textId="77777777" w:rsidR="00C2290E" w:rsidRPr="00C2290E" w:rsidRDefault="00C2290E" w:rsidP="00C2290E">
      <w:pPr>
        <w:pStyle w:val="ListParagraph"/>
        <w:numPr>
          <w:ilvl w:val="0"/>
          <w:numId w:val="3"/>
        </w:numPr>
        <w:rPr>
          <w:rFonts w:ascii="Times New Roman" w:hAnsi="Times New Roman" w:cs="Times New Roman"/>
        </w:rPr>
      </w:pPr>
      <w:r w:rsidRPr="00C2290E">
        <w:rPr>
          <w:rFonts w:ascii="Times New Roman" w:hAnsi="Times New Roman" w:cs="Times New Roman"/>
        </w:rPr>
        <w:t xml:space="preserve">Severe disease (dyspnea, respiratory frequency ≥30/minute, blood oxygen saturation ≤93%, PaO2/FiO2 ratio &lt;300, and/or lung infiltrates &gt;50% of the lung field within 24-48 hours) </w:t>
      </w:r>
    </w:p>
    <w:p w14:paraId="23CBAB4C" w14:textId="14592A0A" w:rsidR="00C2290E" w:rsidRPr="00C2290E" w:rsidRDefault="00C2290E" w:rsidP="00C2290E">
      <w:pPr>
        <w:pStyle w:val="ListParagraph"/>
        <w:numPr>
          <w:ilvl w:val="0"/>
          <w:numId w:val="3"/>
        </w:numPr>
        <w:rPr>
          <w:rFonts w:ascii="Times New Roman" w:hAnsi="Times New Roman" w:cs="Times New Roman"/>
        </w:rPr>
      </w:pPr>
      <w:r w:rsidRPr="00C2290E">
        <w:rPr>
          <w:rFonts w:ascii="Times New Roman" w:hAnsi="Times New Roman" w:cs="Times New Roman"/>
        </w:rPr>
        <w:t>Critical (respiratory failure, septic shock, and/or multiple organ dysfunction/failure).</w:t>
      </w:r>
    </w:p>
    <w:p w14:paraId="31AF63BD" w14:textId="7D378D04" w:rsidR="00C2290E" w:rsidRPr="00C2290E" w:rsidRDefault="00C2290E" w:rsidP="000A251C">
      <w:pPr>
        <w:rPr>
          <w:rFonts w:ascii="Times New Roman" w:eastAsia="Times New Roman" w:hAnsi="Times New Roman" w:cs="Times New Roman"/>
        </w:rPr>
      </w:pPr>
    </w:p>
    <w:p w14:paraId="5729D80D" w14:textId="79B22461" w:rsidR="00C2290E" w:rsidRPr="00C2290E" w:rsidRDefault="00C2290E" w:rsidP="00C2290E">
      <w:pPr>
        <w:pStyle w:val="ListParagraph"/>
        <w:numPr>
          <w:ilvl w:val="0"/>
          <w:numId w:val="1"/>
        </w:numPr>
        <w:rPr>
          <w:rFonts w:ascii="Times New Roman" w:eastAsia="Times New Roman" w:hAnsi="Times New Roman" w:cs="Times New Roman"/>
          <w:u w:val="single"/>
        </w:rPr>
      </w:pPr>
      <w:r w:rsidRPr="00C2290E">
        <w:rPr>
          <w:rFonts w:ascii="Times New Roman" w:eastAsia="Times New Roman" w:hAnsi="Times New Roman" w:cs="Times New Roman"/>
          <w:u w:val="single"/>
        </w:rPr>
        <w:t>Leong, 2020</w:t>
      </w:r>
    </w:p>
    <w:p w14:paraId="6E77990D" w14:textId="77777777" w:rsidR="00C2290E" w:rsidRPr="00C2290E" w:rsidRDefault="00C2290E" w:rsidP="000A251C">
      <w:pPr>
        <w:rPr>
          <w:rFonts w:ascii="Times New Roman" w:eastAsia="Times New Roman" w:hAnsi="Times New Roman" w:cs="Times New Roman"/>
        </w:rPr>
      </w:pPr>
    </w:p>
    <w:p w14:paraId="36930959" w14:textId="678CD3EC" w:rsidR="000A251C" w:rsidRPr="00C2290E" w:rsidRDefault="000A251C" w:rsidP="00C2290E">
      <w:pPr>
        <w:pStyle w:val="ListParagraph"/>
        <w:numPr>
          <w:ilvl w:val="0"/>
          <w:numId w:val="4"/>
        </w:numPr>
        <w:rPr>
          <w:rFonts w:ascii="Times New Roman" w:eastAsia="Times New Roman" w:hAnsi="Times New Roman" w:cs="Times New Roman"/>
        </w:rPr>
      </w:pPr>
      <w:r w:rsidRPr="00C2290E">
        <w:rPr>
          <w:rFonts w:ascii="Times New Roman" w:eastAsia="Times New Roman" w:hAnsi="Times New Roman" w:cs="Times New Roman"/>
        </w:rPr>
        <w:t>Susceptibility: COVID-19 by RNA PCR, serologic testing, or clinician diagnosis by chart review or ICD-coding</w:t>
      </w:r>
      <w:r w:rsidR="00C2290E">
        <w:rPr>
          <w:rFonts w:ascii="Times New Roman" w:eastAsia="Times New Roman" w:hAnsi="Times New Roman" w:cs="Times New Roman"/>
        </w:rPr>
        <w:t xml:space="preserve"> (</w:t>
      </w:r>
      <w:r w:rsidR="00C2290E" w:rsidRPr="00C2290E">
        <w:rPr>
          <w:rFonts w:ascii="Times New Roman" w:eastAsia="Times New Roman" w:hAnsi="Times New Roman" w:cs="Times New Roman"/>
        </w:rPr>
        <w:t>U07.1</w:t>
      </w:r>
      <w:r w:rsidR="00C2290E">
        <w:rPr>
          <w:rFonts w:ascii="Times New Roman" w:eastAsia="Times New Roman" w:hAnsi="Times New Roman" w:cs="Times New Roman"/>
        </w:rPr>
        <w:t>) or suspected COVID-19 (</w:t>
      </w:r>
      <w:r w:rsidR="00C2290E" w:rsidRPr="00C2290E">
        <w:rPr>
          <w:rFonts w:ascii="Times New Roman" w:eastAsia="Times New Roman" w:hAnsi="Times New Roman" w:cs="Times New Roman"/>
        </w:rPr>
        <w:t>Z20.828</w:t>
      </w:r>
      <w:r w:rsidR="00C2290E">
        <w:rPr>
          <w:rFonts w:ascii="Times New Roman" w:eastAsia="Times New Roman" w:hAnsi="Times New Roman" w:cs="Times New Roman"/>
        </w:rPr>
        <w:t>)</w:t>
      </w:r>
      <w:r w:rsidRPr="00C2290E">
        <w:rPr>
          <w:rFonts w:ascii="Times New Roman" w:eastAsia="Times New Roman" w:hAnsi="Times New Roman" w:cs="Times New Roman"/>
        </w:rPr>
        <w:t xml:space="preserve"> vs. population controls</w:t>
      </w:r>
    </w:p>
    <w:p w14:paraId="37FAC576" w14:textId="2150738D" w:rsidR="000A251C" w:rsidRPr="00C2290E" w:rsidRDefault="000A251C" w:rsidP="00C2290E">
      <w:pPr>
        <w:pStyle w:val="ListParagraph"/>
        <w:numPr>
          <w:ilvl w:val="0"/>
          <w:numId w:val="4"/>
        </w:numPr>
        <w:rPr>
          <w:rFonts w:ascii="Times New Roman" w:eastAsia="Times New Roman" w:hAnsi="Times New Roman" w:cs="Times New Roman"/>
        </w:rPr>
      </w:pPr>
      <w:r w:rsidRPr="00C2290E">
        <w:rPr>
          <w:rFonts w:ascii="Times New Roman" w:eastAsia="Times New Roman" w:hAnsi="Times New Roman" w:cs="Times New Roman"/>
        </w:rPr>
        <w:t>Severity: hospitalization of patients with COVID-19 by RNA PCR, serologic testing, or physician diagnosis vs. population controls defined as any person who was not a case (i.e., people who tested negative, were never tested, or had an unknown testing status</w:t>
      </w:r>
    </w:p>
    <w:p w14:paraId="0FA567DA" w14:textId="6990EA5F" w:rsidR="000A251C" w:rsidRPr="002B38AA" w:rsidRDefault="00C2290E" w:rsidP="002B38AA">
      <w:pPr>
        <w:pStyle w:val="ListParagraph"/>
        <w:numPr>
          <w:ilvl w:val="0"/>
          <w:numId w:val="4"/>
        </w:numPr>
        <w:rPr>
          <w:rFonts w:ascii="Times New Roman" w:eastAsia="Times New Roman" w:hAnsi="Times New Roman" w:cs="Times New Roman"/>
        </w:rPr>
      </w:pPr>
      <w:r w:rsidRPr="00C2290E">
        <w:rPr>
          <w:rFonts w:ascii="Times New Roman" w:eastAsia="Times New Roman" w:hAnsi="Times New Roman" w:cs="Times New Roman"/>
        </w:rPr>
        <w:t>Lethality. ICD-coding for COVID death</w:t>
      </w:r>
      <w:r>
        <w:rPr>
          <w:rFonts w:ascii="Times New Roman" w:eastAsia="Times New Roman" w:hAnsi="Times New Roman" w:cs="Times New Roman"/>
        </w:rPr>
        <w:t xml:space="preserve">: </w:t>
      </w:r>
      <w:r w:rsidRPr="00C2290E">
        <w:rPr>
          <w:rFonts w:ascii="Times New Roman" w:eastAsia="Times New Roman" w:hAnsi="Times New Roman" w:cs="Times New Roman"/>
        </w:rPr>
        <w:t>U07.1</w:t>
      </w:r>
      <w:r w:rsidR="002B38AA">
        <w:rPr>
          <w:rFonts w:ascii="Times New Roman" w:eastAsia="Times New Roman" w:hAnsi="Times New Roman" w:cs="Times New Roman"/>
        </w:rPr>
        <w:t xml:space="preserve"> or </w:t>
      </w:r>
      <w:r w:rsidR="002B38AA" w:rsidRPr="002B38AA">
        <w:rPr>
          <w:rFonts w:ascii="Times New Roman" w:eastAsia="Times New Roman" w:hAnsi="Times New Roman" w:cs="Times New Roman"/>
        </w:rPr>
        <w:t>U07.2</w:t>
      </w:r>
      <w:r w:rsidR="002B38AA">
        <w:rPr>
          <w:rFonts w:ascii="Times New Roman" w:eastAsia="Times New Roman" w:hAnsi="Times New Roman" w:cs="Times New Roman"/>
        </w:rPr>
        <w:t xml:space="preserve">. </w:t>
      </w:r>
      <w:r w:rsidR="002B38AA" w:rsidRPr="002B38AA">
        <w:rPr>
          <w:rFonts w:ascii="Times New Roman" w:eastAsia="Times New Roman" w:hAnsi="Times New Roman" w:cs="Times New Roman"/>
        </w:rPr>
        <w:t>clinical or epidemiological diagnosis of COVID-19 where a</w:t>
      </w:r>
      <w:r w:rsidR="002B38AA">
        <w:rPr>
          <w:rFonts w:ascii="Times New Roman" w:eastAsia="Times New Roman" w:hAnsi="Times New Roman" w:cs="Times New Roman"/>
        </w:rPr>
        <w:t xml:space="preserve"> </w:t>
      </w:r>
      <w:r w:rsidR="002B38AA" w:rsidRPr="002B38AA">
        <w:rPr>
          <w:rFonts w:ascii="Times New Roman" w:eastAsia="Times New Roman" w:hAnsi="Times New Roman" w:cs="Times New Roman"/>
        </w:rPr>
        <w:t>laboratory confirmation is inconclusive or not available</w:t>
      </w:r>
    </w:p>
    <w:p w14:paraId="66C9845D" w14:textId="77777777" w:rsidR="00C2290E" w:rsidRPr="00C2290E" w:rsidRDefault="00C2290E" w:rsidP="000A251C">
      <w:pPr>
        <w:rPr>
          <w:rFonts w:ascii="Times New Roman" w:eastAsia="Times New Roman" w:hAnsi="Times New Roman" w:cs="Times New Roman"/>
        </w:rPr>
      </w:pPr>
    </w:p>
    <w:p w14:paraId="58BDD202" w14:textId="77777777" w:rsidR="006116F0" w:rsidRPr="00C2290E" w:rsidRDefault="000A251C" w:rsidP="000A251C">
      <w:pPr>
        <w:rPr>
          <w:rFonts w:ascii="Times New Roman" w:eastAsia="Times New Roman" w:hAnsi="Times New Roman" w:cs="Times New Roman"/>
        </w:rPr>
      </w:pPr>
      <w:r w:rsidRPr="000A251C">
        <w:rPr>
          <w:rFonts w:ascii="Times New Roman" w:eastAsia="Times New Roman" w:hAnsi="Times New Roman" w:cs="Times New Roman"/>
        </w:rPr>
        <w:t xml:space="preserve">As controls were not selected based on testing results, specific characteristics, or testing status, they were likely to be representative of the general population. </w:t>
      </w:r>
    </w:p>
    <w:p w14:paraId="60CC85EB" w14:textId="77777777" w:rsidR="006116F0" w:rsidRPr="00C2290E" w:rsidRDefault="006116F0" w:rsidP="000A251C">
      <w:pPr>
        <w:rPr>
          <w:rFonts w:ascii="Times New Roman" w:eastAsia="Times New Roman" w:hAnsi="Times New Roman" w:cs="Times New Roman"/>
        </w:rPr>
      </w:pPr>
    </w:p>
    <w:p w14:paraId="577A876D" w14:textId="5607F014" w:rsidR="006116F0" w:rsidRPr="00C2290E" w:rsidRDefault="006116F0" w:rsidP="000A251C">
      <w:pPr>
        <w:rPr>
          <w:rFonts w:ascii="Times New Roman" w:eastAsia="Times New Roman" w:hAnsi="Times New Roman" w:cs="Times New Roman"/>
        </w:rPr>
      </w:pPr>
      <w:r w:rsidRPr="00C2290E">
        <w:rPr>
          <w:rFonts w:ascii="Times New Roman" w:eastAsia="Times New Roman" w:hAnsi="Times New Roman" w:cs="Times New Roman"/>
        </w:rPr>
        <w:t xml:space="preserve">Sensitivity analysis </w:t>
      </w:r>
    </w:p>
    <w:p w14:paraId="2A03502B" w14:textId="77777777" w:rsidR="006116F0" w:rsidRPr="00C2290E" w:rsidRDefault="006116F0" w:rsidP="000A251C">
      <w:pPr>
        <w:rPr>
          <w:rFonts w:ascii="Times New Roman" w:eastAsia="Times New Roman" w:hAnsi="Times New Roman" w:cs="Times New Roman"/>
        </w:rPr>
      </w:pPr>
    </w:p>
    <w:p w14:paraId="47F0E130" w14:textId="16EB1471" w:rsidR="000A251C" w:rsidRPr="000A251C" w:rsidRDefault="000A251C" w:rsidP="000A251C">
      <w:pPr>
        <w:rPr>
          <w:rFonts w:ascii="Times New Roman" w:eastAsia="Times New Roman" w:hAnsi="Times New Roman" w:cs="Times New Roman"/>
        </w:rPr>
      </w:pPr>
      <w:r w:rsidRPr="000A251C">
        <w:rPr>
          <w:rFonts w:ascii="Times New Roman" w:eastAsia="Times New Roman" w:hAnsi="Times New Roman" w:cs="Times New Roman"/>
        </w:rPr>
        <w:t xml:space="preserve">For Susceptibility: 1) COVID-19 positive by RNA PCR, serologic testing, or clinician diagnosis vs. COVID-19 negative by RNA PCR, serologic testing, or self-report; 2) predicted COVID-19 based on symptoms or COVID-19 positive by self-report vs. no predicted COVID-19 based on symptoms or no COVID-19 by self-report using a model developed by </w:t>
      </w:r>
      <w:proofErr w:type="spellStart"/>
      <w:r w:rsidRPr="000A251C">
        <w:rPr>
          <w:rFonts w:ascii="Times New Roman" w:eastAsia="Times New Roman" w:hAnsi="Times New Roman" w:cs="Times New Roman"/>
        </w:rPr>
        <w:t>Menni</w:t>
      </w:r>
      <w:proofErr w:type="spellEnd"/>
      <w:r w:rsidRPr="000A251C">
        <w:rPr>
          <w:rFonts w:ascii="Times New Roman" w:eastAsia="Times New Roman" w:hAnsi="Times New Roman" w:cs="Times New Roman"/>
        </w:rPr>
        <w:t xml:space="preserve"> et al. 2020</w:t>
      </w:r>
      <w:r w:rsidR="006116F0" w:rsidRPr="00C2290E">
        <w:rPr>
          <w:rFonts w:ascii="Times New Roman" w:eastAsia="Times New Roman" w:hAnsi="Times New Roman" w:cs="Times New Roman"/>
        </w:rPr>
        <w:t xml:space="preserve"> </w:t>
      </w:r>
      <w:r w:rsidRPr="000A251C">
        <w:rPr>
          <w:rFonts w:ascii="Times New Roman" w:eastAsia="Times New Roman" w:hAnsi="Times New Roman" w:cs="Times New Roman"/>
        </w:rPr>
        <w:t xml:space="preserve">47, and for Severity: 3) critical respiratory illness, defined by death, intubation, Continuous Positive Airway Pressure (CPAP), Bilevel Positive Airway Pressure (BiPAP), Continued external Negative Pressure (CNP), or very high flow positive end expiratory pressure oxygen in patients with COVID-19 by RNA PCR or serologic testing (N=536) vs. population controls (N=329,391) and 4) hospitalization (N=928) vs. no hospitalization within 21 days of testing positive for COVID-19 (N=2,028). </w:t>
      </w:r>
    </w:p>
    <w:p w14:paraId="6FBD1925" w14:textId="62878B4B" w:rsidR="003A7BFF" w:rsidRDefault="003A7BFF" w:rsidP="003A7BFF">
      <w:pPr>
        <w:rPr>
          <w:rFonts w:ascii="Times New Roman" w:hAnsi="Times New Roman" w:cs="Times New Roman"/>
        </w:rPr>
      </w:pPr>
    </w:p>
    <w:p w14:paraId="04F7AB98" w14:textId="1889CE0A" w:rsidR="00C436A6" w:rsidRDefault="00C436A6" w:rsidP="003A7BFF">
      <w:pPr>
        <w:rPr>
          <w:rFonts w:ascii="Times New Roman" w:hAnsi="Times New Roman" w:cs="Times New Roman"/>
        </w:rPr>
      </w:pPr>
      <w:r>
        <w:rPr>
          <w:rFonts w:ascii="Times New Roman" w:hAnsi="Times New Roman" w:cs="Times New Roman"/>
        </w:rPr>
        <w:lastRenderedPageBreak/>
        <w:t>COVID Host genetics initiative outcomes:</w:t>
      </w:r>
    </w:p>
    <w:p w14:paraId="6B8C0A05" w14:textId="76695654" w:rsidR="00C436A6" w:rsidRDefault="00C436A6" w:rsidP="003A7BFF">
      <w:pPr>
        <w:rPr>
          <w:rFonts w:ascii="Times New Roman" w:hAnsi="Times New Roman" w:cs="Times New Roman"/>
        </w:rPr>
      </w:pPr>
    </w:p>
    <w:p w14:paraId="23C58CCE" w14:textId="77777777" w:rsidR="00C436A6" w:rsidRPr="00DB279C" w:rsidRDefault="00C436A6" w:rsidP="00C436A6">
      <w:pPr>
        <w:pStyle w:val="ListParagraph"/>
        <w:numPr>
          <w:ilvl w:val="0"/>
          <w:numId w:val="5"/>
        </w:numPr>
        <w:rPr>
          <w:rFonts w:ascii="Times New Roman" w:eastAsia="Times New Roman" w:hAnsi="Times New Roman" w:cs="Times New Roman"/>
        </w:rPr>
      </w:pPr>
      <w:r w:rsidRPr="00DB279C">
        <w:rPr>
          <w:rFonts w:ascii="Times New Roman" w:eastAsia="Times New Roman" w:hAnsi="Times New Roman" w:cs="Times New Roman"/>
        </w:rPr>
        <w:t xml:space="preserve">Hospitalization (versus non-hospitalized COVID-19), </w:t>
      </w:r>
    </w:p>
    <w:p w14:paraId="6CB777D3" w14:textId="77777777" w:rsidR="00C436A6" w:rsidRPr="00DB279C" w:rsidRDefault="00C436A6" w:rsidP="00C436A6">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S</w:t>
      </w:r>
      <w:r w:rsidRPr="00DB279C">
        <w:rPr>
          <w:rFonts w:ascii="Times New Roman" w:eastAsia="Times New Roman" w:hAnsi="Times New Roman" w:cs="Times New Roman"/>
        </w:rPr>
        <w:t xml:space="preserve">usceptibility (affected versus unaffected population), </w:t>
      </w:r>
    </w:p>
    <w:p w14:paraId="557CD44F" w14:textId="77777777" w:rsidR="00C436A6" w:rsidRPr="00DB279C" w:rsidRDefault="00C436A6" w:rsidP="00C436A6">
      <w:pPr>
        <w:pStyle w:val="ListParagraph"/>
        <w:numPr>
          <w:ilvl w:val="0"/>
          <w:numId w:val="5"/>
        </w:numPr>
        <w:rPr>
          <w:rFonts w:ascii="Times New Roman" w:eastAsia="Times New Roman" w:hAnsi="Times New Roman" w:cs="Times New Roman"/>
        </w:rPr>
      </w:pPr>
      <w:r w:rsidRPr="00DB279C">
        <w:rPr>
          <w:rFonts w:ascii="Times New Roman" w:eastAsia="Times New Roman" w:hAnsi="Times New Roman" w:cs="Times New Roman"/>
        </w:rPr>
        <w:t xml:space="preserve">COVID-19 predicted by flu-like symptoms; </w:t>
      </w:r>
    </w:p>
    <w:p w14:paraId="30E9C1E0" w14:textId="77777777" w:rsidR="00C436A6" w:rsidRPr="00DB279C" w:rsidRDefault="00C436A6" w:rsidP="00C436A6">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S</w:t>
      </w:r>
      <w:r w:rsidRPr="00DB279C">
        <w:rPr>
          <w:rFonts w:ascii="Times New Roman" w:eastAsia="Times New Roman" w:hAnsi="Times New Roman" w:cs="Times New Roman"/>
        </w:rPr>
        <w:t xml:space="preserve">evere respiratory confirmed COVID-19 (versus the general population), </w:t>
      </w:r>
    </w:p>
    <w:p w14:paraId="12BF8CCA" w14:textId="77777777" w:rsidR="00C436A6" w:rsidRPr="00DB279C" w:rsidRDefault="00C436A6" w:rsidP="00C436A6">
      <w:pPr>
        <w:pStyle w:val="ListParagraph"/>
        <w:numPr>
          <w:ilvl w:val="0"/>
          <w:numId w:val="5"/>
        </w:numPr>
        <w:rPr>
          <w:rFonts w:ascii="Times New Roman" w:eastAsia="Times New Roman" w:hAnsi="Times New Roman" w:cs="Times New Roman"/>
        </w:rPr>
      </w:pPr>
      <w:r w:rsidRPr="00DB279C">
        <w:rPr>
          <w:rFonts w:ascii="Times New Roman" w:eastAsia="Times New Roman" w:hAnsi="Times New Roman" w:cs="Times New Roman"/>
        </w:rPr>
        <w:t xml:space="preserve">COVID-19 infection (versus negative control or population), </w:t>
      </w:r>
    </w:p>
    <w:p w14:paraId="5988CFC3" w14:textId="77777777" w:rsidR="00C436A6" w:rsidRPr="00DB279C" w:rsidRDefault="00C436A6" w:rsidP="00C436A6">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H</w:t>
      </w:r>
      <w:r w:rsidRPr="00DB279C">
        <w:rPr>
          <w:rFonts w:ascii="Times New Roman" w:eastAsia="Times New Roman" w:hAnsi="Times New Roman" w:cs="Times New Roman"/>
        </w:rPr>
        <w:t xml:space="preserve">ospitalized COVID-19 (versus not hospitalized COVID-19 or population), </w:t>
      </w:r>
    </w:p>
    <w:p w14:paraId="70975663" w14:textId="77777777" w:rsidR="00C436A6" w:rsidRDefault="00C436A6" w:rsidP="00C436A6">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P</w:t>
      </w:r>
      <w:r w:rsidRPr="00DB279C">
        <w:rPr>
          <w:rFonts w:ascii="Times New Roman" w:eastAsia="Times New Roman" w:hAnsi="Times New Roman" w:cs="Times New Roman"/>
        </w:rPr>
        <w:t xml:space="preserve">redicted COVID from self-reported symptoms (versus predicted or self-reported non-COVID-19). </w:t>
      </w:r>
    </w:p>
    <w:p w14:paraId="78D9F90A" w14:textId="77777777" w:rsidR="00C436A6" w:rsidRPr="00DB279C" w:rsidRDefault="00C436A6" w:rsidP="00C436A6">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COVID-19 death by ICD-code: </w:t>
      </w:r>
      <w:r w:rsidRPr="00C2290E">
        <w:rPr>
          <w:rFonts w:ascii="Times New Roman" w:eastAsia="Times New Roman" w:hAnsi="Times New Roman" w:cs="Times New Roman"/>
        </w:rPr>
        <w:t>U07.1</w:t>
      </w:r>
      <w:r>
        <w:rPr>
          <w:rFonts w:ascii="Times New Roman" w:eastAsia="Times New Roman" w:hAnsi="Times New Roman" w:cs="Times New Roman"/>
        </w:rPr>
        <w:t xml:space="preserve"> or </w:t>
      </w:r>
      <w:r w:rsidRPr="002B38AA">
        <w:rPr>
          <w:rFonts w:ascii="Times New Roman" w:eastAsia="Times New Roman" w:hAnsi="Times New Roman" w:cs="Times New Roman"/>
        </w:rPr>
        <w:t>U07.2</w:t>
      </w:r>
      <w:r>
        <w:rPr>
          <w:rFonts w:ascii="Times New Roman" w:eastAsia="Times New Roman" w:hAnsi="Times New Roman" w:cs="Times New Roman"/>
        </w:rPr>
        <w:t>.</w:t>
      </w:r>
    </w:p>
    <w:p w14:paraId="0F6258C5" w14:textId="58F8B993" w:rsidR="00C436A6" w:rsidRDefault="00C436A6" w:rsidP="003A7BFF">
      <w:pPr>
        <w:rPr>
          <w:rFonts w:ascii="Times New Roman" w:hAnsi="Times New Roman" w:cs="Times New Roman"/>
        </w:rPr>
      </w:pPr>
    </w:p>
    <w:sectPr w:rsidR="00C43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F49F3"/>
    <w:multiLevelType w:val="hybridMultilevel"/>
    <w:tmpl w:val="98B0FF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61704"/>
    <w:multiLevelType w:val="hybridMultilevel"/>
    <w:tmpl w:val="555AD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D5A33"/>
    <w:multiLevelType w:val="hybridMultilevel"/>
    <w:tmpl w:val="1D9E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71D78"/>
    <w:multiLevelType w:val="hybridMultilevel"/>
    <w:tmpl w:val="5F7A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211D98"/>
    <w:multiLevelType w:val="hybridMultilevel"/>
    <w:tmpl w:val="310C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1C"/>
    <w:rsid w:val="000964EF"/>
    <w:rsid w:val="000A251C"/>
    <w:rsid w:val="000F6D0B"/>
    <w:rsid w:val="002B38AA"/>
    <w:rsid w:val="003A7BFF"/>
    <w:rsid w:val="003F54AD"/>
    <w:rsid w:val="006116F0"/>
    <w:rsid w:val="009C6B41"/>
    <w:rsid w:val="00C2290E"/>
    <w:rsid w:val="00C43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140A"/>
  <w15:chartTrackingRefBased/>
  <w15:docId w15:val="{F357C004-0D57-4347-BD04-6DA464EAD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B41"/>
    <w:rPr>
      <w:color w:val="0563C1" w:themeColor="hyperlink"/>
      <w:u w:val="single"/>
    </w:rPr>
  </w:style>
  <w:style w:type="character" w:styleId="UnresolvedMention">
    <w:name w:val="Unresolved Mention"/>
    <w:basedOn w:val="DefaultParagraphFont"/>
    <w:uiPriority w:val="99"/>
    <w:semiHidden/>
    <w:unhideWhenUsed/>
    <w:rsid w:val="009C6B41"/>
    <w:rPr>
      <w:color w:val="605E5C"/>
      <w:shd w:val="clear" w:color="auto" w:fill="E1DFDD"/>
    </w:rPr>
  </w:style>
  <w:style w:type="paragraph" w:styleId="ListParagraph">
    <w:name w:val="List Paragraph"/>
    <w:basedOn w:val="Normal"/>
    <w:uiPriority w:val="34"/>
    <w:qFormat/>
    <w:rsid w:val="00C2290E"/>
    <w:pPr>
      <w:ind w:left="720"/>
      <w:contextualSpacing/>
    </w:pPr>
  </w:style>
  <w:style w:type="table" w:styleId="TableGrid">
    <w:name w:val="Table Grid"/>
    <w:basedOn w:val="TableNormal"/>
    <w:uiPriority w:val="39"/>
    <w:rsid w:val="000F6D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010508">
      <w:bodyDiv w:val="1"/>
      <w:marLeft w:val="0"/>
      <w:marRight w:val="0"/>
      <w:marTop w:val="0"/>
      <w:marBottom w:val="0"/>
      <w:divBdr>
        <w:top w:val="none" w:sz="0" w:space="0" w:color="auto"/>
        <w:left w:val="none" w:sz="0" w:space="0" w:color="auto"/>
        <w:bottom w:val="none" w:sz="0" w:space="0" w:color="auto"/>
        <w:right w:val="none" w:sz="0" w:space="0" w:color="auto"/>
      </w:divBdr>
    </w:div>
    <w:div w:id="562759301">
      <w:bodyDiv w:val="1"/>
      <w:marLeft w:val="0"/>
      <w:marRight w:val="0"/>
      <w:marTop w:val="0"/>
      <w:marBottom w:val="0"/>
      <w:divBdr>
        <w:top w:val="none" w:sz="0" w:space="0" w:color="auto"/>
        <w:left w:val="none" w:sz="0" w:space="0" w:color="auto"/>
        <w:bottom w:val="none" w:sz="0" w:space="0" w:color="auto"/>
        <w:right w:val="none" w:sz="0" w:space="0" w:color="auto"/>
      </w:divBdr>
    </w:div>
    <w:div w:id="1422752571">
      <w:bodyDiv w:val="1"/>
      <w:marLeft w:val="0"/>
      <w:marRight w:val="0"/>
      <w:marTop w:val="0"/>
      <w:marBottom w:val="0"/>
      <w:divBdr>
        <w:top w:val="none" w:sz="0" w:space="0" w:color="auto"/>
        <w:left w:val="none" w:sz="0" w:space="0" w:color="auto"/>
        <w:bottom w:val="none" w:sz="0" w:space="0" w:color="auto"/>
        <w:right w:val="none" w:sz="0" w:space="0" w:color="auto"/>
      </w:divBdr>
    </w:div>
    <w:div w:id="1579562009">
      <w:bodyDiv w:val="1"/>
      <w:marLeft w:val="0"/>
      <w:marRight w:val="0"/>
      <w:marTop w:val="0"/>
      <w:marBottom w:val="0"/>
      <w:divBdr>
        <w:top w:val="none" w:sz="0" w:space="0" w:color="auto"/>
        <w:left w:val="none" w:sz="0" w:space="0" w:color="auto"/>
        <w:bottom w:val="none" w:sz="0" w:space="0" w:color="auto"/>
        <w:right w:val="none" w:sz="0" w:space="0" w:color="auto"/>
      </w:divBdr>
    </w:div>
    <w:div w:id="1619481462">
      <w:bodyDiv w:val="1"/>
      <w:marLeft w:val="0"/>
      <w:marRight w:val="0"/>
      <w:marTop w:val="0"/>
      <w:marBottom w:val="0"/>
      <w:divBdr>
        <w:top w:val="none" w:sz="0" w:space="0" w:color="auto"/>
        <w:left w:val="none" w:sz="0" w:space="0" w:color="auto"/>
        <w:bottom w:val="none" w:sz="0" w:space="0" w:color="auto"/>
        <w:right w:val="none" w:sz="0" w:space="0" w:color="auto"/>
      </w:divBdr>
    </w:div>
    <w:div w:id="204775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helancet.com/journals/laninf/article/PIIS1473-3099(20)30483-7/full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Sevilla Gonzalez, Magdalena Del</dc:creator>
  <cp:keywords/>
  <dc:description/>
  <cp:lastModifiedBy>Sevilla Gonzalez, Magdalena Del</cp:lastModifiedBy>
  <cp:revision>2</cp:revision>
  <dcterms:created xsi:type="dcterms:W3CDTF">2020-09-30T17:21:00Z</dcterms:created>
  <dcterms:modified xsi:type="dcterms:W3CDTF">2020-10-01T20:50:00Z</dcterms:modified>
</cp:coreProperties>
</file>