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20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w:t>
      </w:r>
    </w:p>
    <w:p w:rsidR="00000000" w:rsidDel="00000000" w:rsidP="00000000" w:rsidRDefault="00000000" w:rsidRPr="00000000" w14:paraId="00000003">
      <w:pPr>
        <w:spacing w:after="20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genome-wide significant variant, chr2:218260234, for the sex joint test is located in the i</w:t>
      </w:r>
      <w:r w:rsidDel="00000000" w:rsidR="00000000" w:rsidRPr="00000000">
        <w:rPr>
          <w:rFonts w:ascii="Times New Roman" w:cs="Times New Roman" w:eastAsia="Times New Roman" w:hAnsi="Times New Roman"/>
          <w:sz w:val="24"/>
          <w:szCs w:val="24"/>
          <w:highlight w:val="white"/>
          <w:rtl w:val="0"/>
        </w:rPr>
        <w:t xml:space="preserve">ntron of </w:t>
      </w:r>
      <w:r w:rsidDel="00000000" w:rsidR="00000000" w:rsidRPr="00000000">
        <w:rPr>
          <w:rFonts w:ascii="Times New Roman" w:cs="Times New Roman" w:eastAsia="Times New Roman" w:hAnsi="Times New Roman"/>
          <w:i w:val="1"/>
          <w:sz w:val="24"/>
          <w:szCs w:val="24"/>
          <w:highlight w:val="white"/>
          <w:rtl w:val="0"/>
        </w:rPr>
        <w:t xml:space="preserve">DIRC3</w:t>
      </w:r>
      <w:r w:rsidDel="00000000" w:rsidR="00000000" w:rsidRPr="00000000">
        <w:rPr>
          <w:rFonts w:ascii="Times New Roman" w:cs="Times New Roman" w:eastAsia="Times New Roman" w:hAnsi="Times New Roman"/>
          <w:sz w:val="24"/>
          <w:szCs w:val="24"/>
          <w:highlight w:val="white"/>
          <w:rtl w:val="0"/>
        </w:rPr>
        <w:t xml:space="preserve"> and associated with body height, breast and thyroid carcinoma, lean body mass, bone density. The </w:t>
      </w:r>
      <w:r w:rsidDel="00000000" w:rsidR="00000000" w:rsidRPr="00000000">
        <w:rPr>
          <w:rFonts w:ascii="Times New Roman" w:cs="Times New Roman" w:eastAsia="Times New Roman" w:hAnsi="Times New Roman"/>
          <w:i w:val="1"/>
          <w:sz w:val="24"/>
          <w:szCs w:val="24"/>
          <w:highlight w:val="white"/>
          <w:rtl w:val="0"/>
        </w:rPr>
        <w:t xml:space="preserve">DIRC3</w:t>
      </w:r>
      <w:r w:rsidDel="00000000" w:rsidR="00000000" w:rsidRPr="00000000">
        <w:rPr>
          <w:rFonts w:ascii="Times New Roman" w:cs="Times New Roman" w:eastAsia="Times New Roman" w:hAnsi="Times New Roman"/>
          <w:sz w:val="24"/>
          <w:szCs w:val="24"/>
          <w:highlight w:val="white"/>
          <w:rtl w:val="0"/>
        </w:rPr>
        <w:t xml:space="preserve"> gene is associated with non-papillary renal cell carcinoma and breast cancer. From GTEx analysis, 2:218260234 has an eQTL relationship with skin (sun exposed). While worse COVID-19 outcomes were substantially higher in cancer patients in population-based studies, genetic studies have yet to investigate this association (Robilotti et al., 2020; Liang et al. 2020; Al-Quteimat &amp; Amer, 2020). However, the immunosuppressed status of cancer patients receiving treatment place individuals at higher risk of COVID-19 severity. </w:t>
      </w:r>
      <w:r w:rsidDel="00000000" w:rsidR="00000000" w:rsidRPr="00000000">
        <w:rPr>
          <w:rFonts w:ascii="Times New Roman" w:cs="Times New Roman" w:eastAsia="Times New Roman" w:hAnsi="Times New Roman"/>
          <w:sz w:val="24"/>
          <w:szCs w:val="24"/>
          <w:rtl w:val="0"/>
        </w:rPr>
        <w:t xml:space="preserve">While future research is required to elicit the biological basis of different immune system responses, the gene-environment interaction of these variants with sex and COVID-19 severity suggests mechanisms that may put individuals at higher risk. </w:t>
      </w:r>
    </w:p>
    <w:p w:rsidR="00000000" w:rsidDel="00000000" w:rsidP="00000000" w:rsidRDefault="00000000" w:rsidRPr="00000000" w14:paraId="00000004">
      <w:pPr>
        <w:spacing w:after="20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Pr>
        <w:drawing>
          <wp:inline distB="114300" distT="114300" distL="114300" distR="114300">
            <wp:extent cx="4723805" cy="1818791"/>
            <wp:effectExtent b="0" l="0" r="0" t="0"/>
            <wp:docPr id="1" name="image7.png"/>
            <a:graphic>
              <a:graphicData uri="http://schemas.openxmlformats.org/drawingml/2006/picture">
                <pic:pic>
                  <pic:nvPicPr>
                    <pic:cNvPr id="0" name="image7.png"/>
                    <pic:cNvPicPr preferRelativeResize="0"/>
                  </pic:nvPicPr>
                  <pic:blipFill>
                    <a:blip r:embed="rId6"/>
                    <a:srcRect b="5898" l="0" r="0" t="4138"/>
                    <a:stretch>
                      <a:fillRect/>
                    </a:stretch>
                  </pic:blipFill>
                  <pic:spPr>
                    <a:xfrm>
                      <a:off x="0" y="0"/>
                      <a:ext cx="4723805" cy="181879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B.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91138" cy="2042193"/>
            <wp:effectExtent b="0" l="0" r="0" t="0"/>
            <wp:docPr id="3" name="image4.png"/>
            <a:graphic>
              <a:graphicData uri="http://schemas.openxmlformats.org/drawingml/2006/picture">
                <pic:pic>
                  <pic:nvPicPr>
                    <pic:cNvPr id="0" name="image4.png"/>
                    <pic:cNvPicPr preferRelativeResize="0"/>
                  </pic:nvPicPr>
                  <pic:blipFill>
                    <a:blip r:embed="rId7"/>
                    <a:srcRect b="4604" l="0" r="2127" t="4691"/>
                    <a:stretch>
                      <a:fillRect/>
                    </a:stretch>
                  </pic:blipFill>
                  <pic:spPr>
                    <a:xfrm>
                      <a:off x="0" y="0"/>
                      <a:ext cx="5291138" cy="204219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highlight w:val="white"/>
          <w:rtl w:val="0"/>
        </w:rPr>
        <w:t xml:space="preserve">C.  </w:t>
      </w:r>
      <w:r w:rsidDel="00000000" w:rsidR="00000000" w:rsidRPr="00000000">
        <w:rPr>
          <w:rFonts w:ascii="Times New Roman" w:cs="Times New Roman" w:eastAsia="Times New Roman" w:hAnsi="Times New Roman"/>
          <w:sz w:val="24"/>
          <w:szCs w:val="24"/>
        </w:rPr>
        <w:drawing>
          <wp:inline distB="114300" distT="114300" distL="114300" distR="114300">
            <wp:extent cx="5167313" cy="2200036"/>
            <wp:effectExtent b="0" l="0" r="0" t="0"/>
            <wp:docPr id="2" name="image8.png"/>
            <a:graphic>
              <a:graphicData uri="http://schemas.openxmlformats.org/drawingml/2006/picture">
                <pic:pic>
                  <pic:nvPicPr>
                    <pic:cNvPr id="0" name="image8.png"/>
                    <pic:cNvPicPr preferRelativeResize="0"/>
                  </pic:nvPicPr>
                  <pic:blipFill>
                    <a:blip r:embed="rId8"/>
                    <a:srcRect b="3224" l="0" r="3049" t="1845"/>
                    <a:stretch>
                      <a:fillRect/>
                    </a:stretch>
                  </pic:blipFill>
                  <pic:spPr>
                    <a:xfrm>
                      <a:off x="0" y="0"/>
                      <a:ext cx="5167313" cy="220003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Fig. 1: Miami plot of the genome-wide sex joint test effects. A. </w:t>
      </w:r>
      <w:r w:rsidDel="00000000" w:rsidR="00000000" w:rsidRPr="00000000">
        <w:rPr>
          <w:rFonts w:ascii="Times New Roman" w:cs="Times New Roman" w:eastAsia="Times New Roman" w:hAnsi="Times New Roman"/>
          <w:sz w:val="24"/>
          <w:szCs w:val="24"/>
          <w:highlight w:val="white"/>
          <w:rtl w:val="0"/>
        </w:rPr>
        <w:t xml:space="preserve">Sex</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joint tests showed a signal at Chr 2 and 14. Variants </w:t>
      </w:r>
      <w:r w:rsidDel="00000000" w:rsidR="00000000" w:rsidRPr="00000000">
        <w:rPr>
          <w:rFonts w:ascii="Times New Roman" w:cs="Times New Roman" w:eastAsia="Times New Roman" w:hAnsi="Times New Roman"/>
          <w:sz w:val="24"/>
          <w:szCs w:val="24"/>
          <w:rtl w:val="0"/>
        </w:rPr>
        <w:t xml:space="preserve">2:218260234 and rs2268616 were identified as genome-wide significant. </w:t>
      </w:r>
      <w:r w:rsidDel="00000000" w:rsidR="00000000" w:rsidRPr="00000000">
        <w:rPr>
          <w:rFonts w:ascii="Times New Roman" w:cs="Times New Roman" w:eastAsia="Times New Roman" w:hAnsi="Times New Roman"/>
          <w:b w:val="1"/>
          <w:sz w:val="24"/>
          <w:szCs w:val="24"/>
          <w:highlight w:val="white"/>
          <w:rtl w:val="0"/>
        </w:rPr>
        <w:t xml:space="preserve">B. </w:t>
      </w:r>
      <w:r w:rsidDel="00000000" w:rsidR="00000000" w:rsidRPr="00000000">
        <w:rPr>
          <w:rFonts w:ascii="Times New Roman" w:cs="Times New Roman" w:eastAsia="Times New Roman" w:hAnsi="Times New Roman"/>
          <w:sz w:val="24"/>
          <w:szCs w:val="24"/>
          <w:highlight w:val="white"/>
          <w:rtl w:val="0"/>
        </w:rPr>
        <w:t xml:space="preserve">In the cardiometabolic joint test, strong loci were identified. </w:t>
      </w:r>
      <w:r w:rsidDel="00000000" w:rsidR="00000000" w:rsidRPr="00000000">
        <w:rPr>
          <w:rFonts w:ascii="Times New Roman" w:cs="Times New Roman" w:eastAsia="Times New Roman" w:hAnsi="Times New Roman"/>
          <w:sz w:val="24"/>
          <w:szCs w:val="24"/>
          <w:rtl w:val="0"/>
        </w:rPr>
        <w:t xml:space="preserve">rs2268616, rs148793499, and rs11115199 were genome-wide significant.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 </w:t>
      </w:r>
      <w:r w:rsidDel="00000000" w:rsidR="00000000" w:rsidRPr="00000000">
        <w:rPr>
          <w:rFonts w:ascii="Times New Roman" w:cs="Times New Roman" w:eastAsia="Times New Roman" w:hAnsi="Times New Roman"/>
          <w:sz w:val="24"/>
          <w:szCs w:val="24"/>
          <w:highlight w:val="white"/>
          <w:rtl w:val="0"/>
        </w:rPr>
        <w:t xml:space="preserve">In the MDI joint test, no variants passed the genome-wide significant threshold (5E-08). However, </w:t>
      </w:r>
      <w:r w:rsidDel="00000000" w:rsidR="00000000" w:rsidRPr="00000000">
        <w:rPr>
          <w:rFonts w:ascii="Times New Roman" w:cs="Times New Roman" w:eastAsia="Times New Roman" w:hAnsi="Times New Roman"/>
          <w:sz w:val="24"/>
          <w:szCs w:val="24"/>
          <w:rtl w:val="0"/>
        </w:rPr>
        <w:t xml:space="preserve">rs2268616 was suggestively significant (p&lt;1E-06). </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462588" cy="2225827"/>
            <wp:effectExtent b="0" l="0" r="0" t="0"/>
            <wp:docPr id="5" name="image2.png"/>
            <a:graphic>
              <a:graphicData uri="http://schemas.openxmlformats.org/drawingml/2006/picture">
                <pic:pic>
                  <pic:nvPicPr>
                    <pic:cNvPr id="0" name="image2.png"/>
                    <pic:cNvPicPr preferRelativeResize="0"/>
                  </pic:nvPicPr>
                  <pic:blipFill>
                    <a:blip r:embed="rId9"/>
                    <a:srcRect b="0" l="0" r="0" t="3301"/>
                    <a:stretch>
                      <a:fillRect/>
                    </a:stretch>
                  </pic:blipFill>
                  <pic:spPr>
                    <a:xfrm>
                      <a:off x="0" y="0"/>
                      <a:ext cx="5462588" cy="222582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490047" cy="2241035"/>
            <wp:effectExtent b="0" l="0" r="0" t="0"/>
            <wp:docPr id="4" name="image5.png"/>
            <a:graphic>
              <a:graphicData uri="http://schemas.openxmlformats.org/drawingml/2006/picture">
                <pic:pic>
                  <pic:nvPicPr>
                    <pic:cNvPr id="0" name="image5.png"/>
                    <pic:cNvPicPr preferRelativeResize="0"/>
                  </pic:nvPicPr>
                  <pic:blipFill>
                    <a:blip r:embed="rId10"/>
                    <a:srcRect b="5207" l="0" r="4807" t="2663"/>
                    <a:stretch>
                      <a:fillRect/>
                    </a:stretch>
                  </pic:blipFill>
                  <pic:spPr>
                    <a:xfrm>
                      <a:off x="0" y="0"/>
                      <a:ext cx="5490047" cy="2241035"/>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619902" cy="2267508"/>
            <wp:effectExtent b="0" l="0" r="0" t="0"/>
            <wp:docPr id="6" name="image3.png"/>
            <a:graphic>
              <a:graphicData uri="http://schemas.openxmlformats.org/drawingml/2006/picture">
                <pic:pic>
                  <pic:nvPicPr>
                    <pic:cNvPr id="0" name="image3.png"/>
                    <pic:cNvPicPr preferRelativeResize="0"/>
                  </pic:nvPicPr>
                  <pic:blipFill>
                    <a:blip r:embed="rId11"/>
                    <a:srcRect b="3891" l="0" r="0" t="0"/>
                    <a:stretch>
                      <a:fillRect/>
                    </a:stretch>
                  </pic:blipFill>
                  <pic:spPr>
                    <a:xfrm>
                      <a:off x="0" y="0"/>
                      <a:ext cx="5619902" cy="226750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2: Manhattan plot of the genome-wide sex interaction test effects. A. </w:t>
      </w:r>
      <w:r w:rsidDel="00000000" w:rsidR="00000000" w:rsidRPr="00000000">
        <w:rPr>
          <w:rFonts w:ascii="Times New Roman" w:cs="Times New Roman" w:eastAsia="Times New Roman" w:hAnsi="Times New Roman"/>
          <w:sz w:val="24"/>
          <w:szCs w:val="24"/>
          <w:highlight w:val="white"/>
          <w:rtl w:val="0"/>
        </w:rPr>
        <w:t xml:space="preserve">Sex</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interaction tests did not show any strong signals or</w:t>
      </w:r>
      <w:r w:rsidDel="00000000" w:rsidR="00000000" w:rsidRPr="00000000">
        <w:rPr>
          <w:rFonts w:ascii="Times New Roman" w:cs="Times New Roman" w:eastAsia="Times New Roman" w:hAnsi="Times New Roman"/>
          <w:sz w:val="24"/>
          <w:szCs w:val="24"/>
          <w:rtl w:val="0"/>
        </w:rPr>
        <w:t xml:space="preserve"> genome-wide significant variants. </w:t>
      </w:r>
      <w:r w:rsidDel="00000000" w:rsidR="00000000" w:rsidRPr="00000000">
        <w:rPr>
          <w:rFonts w:ascii="Times New Roman" w:cs="Times New Roman" w:eastAsia="Times New Roman" w:hAnsi="Times New Roman"/>
          <w:b w:val="1"/>
          <w:sz w:val="24"/>
          <w:szCs w:val="24"/>
          <w:highlight w:val="white"/>
          <w:rtl w:val="0"/>
        </w:rPr>
        <w:t xml:space="preserve">B. </w:t>
      </w:r>
      <w:r w:rsidDel="00000000" w:rsidR="00000000" w:rsidRPr="00000000">
        <w:rPr>
          <w:rFonts w:ascii="Times New Roman" w:cs="Times New Roman" w:eastAsia="Times New Roman" w:hAnsi="Times New Roman"/>
          <w:sz w:val="24"/>
          <w:szCs w:val="24"/>
          <w:highlight w:val="white"/>
          <w:rtl w:val="0"/>
        </w:rPr>
        <w:t xml:space="preserve">Cardiometabolic interaction tests showed several suggestive loci, but only identified one genome-wide significant variant </w:t>
      </w:r>
      <w:r w:rsidDel="00000000" w:rsidR="00000000" w:rsidRPr="00000000">
        <w:rPr>
          <w:rFonts w:ascii="Times New Roman" w:cs="Times New Roman" w:eastAsia="Times New Roman" w:hAnsi="Times New Roman"/>
          <w:sz w:val="24"/>
          <w:szCs w:val="24"/>
          <w:rtl w:val="0"/>
        </w:rPr>
        <w:t xml:space="preserve">(rs11115199, p=1.37e-08).</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 </w:t>
      </w:r>
      <w:r w:rsidDel="00000000" w:rsidR="00000000" w:rsidRPr="00000000">
        <w:rPr>
          <w:rFonts w:ascii="Times New Roman" w:cs="Times New Roman" w:eastAsia="Times New Roman" w:hAnsi="Times New Roman"/>
          <w:sz w:val="24"/>
          <w:szCs w:val="24"/>
          <w:highlight w:val="white"/>
          <w:rtl w:val="0"/>
        </w:rPr>
        <w:t xml:space="preserve">MDI interaction tests did not find any variants that passed the genome-wide significant threshold (p&lt;5E-08).</w:t>
      </w:r>
    </w:p>
    <w:p w:rsidR="00000000" w:rsidDel="00000000" w:rsidP="00000000" w:rsidRDefault="00000000" w:rsidRPr="00000000" w14:paraId="0000001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3">
      <w:pPr>
        <w:spacing w:after="200" w:lineRule="auto"/>
        <w:jc w:val="center"/>
        <w:rPr>
          <w:b w:val="1"/>
          <w:sz w:val="20"/>
          <w:szCs w:val="20"/>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0"/>
          <w:szCs w:val="20"/>
        </w:rPr>
        <w:drawing>
          <wp:inline distB="114300" distT="114300" distL="114300" distR="114300">
            <wp:extent cx="3622980" cy="2660030"/>
            <wp:effectExtent b="12700" l="12700" r="12700" t="1270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22980" cy="26600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spacing w:after="200" w:lineRule="auto"/>
        <w:jc w:val="center"/>
        <w:rPr>
          <w:rFonts w:ascii="Roboto" w:cs="Roboto" w:eastAsia="Roboto" w:hAnsi="Roboto"/>
          <w:b w:val="1"/>
          <w:sz w:val="20"/>
          <w:szCs w:val="20"/>
          <w:highlight w:val="white"/>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Roboto" w:cs="Roboto" w:eastAsia="Roboto" w:hAnsi="Roboto"/>
          <w:b w:val="1"/>
          <w:sz w:val="20"/>
          <w:szCs w:val="20"/>
          <w:highlight w:val="white"/>
        </w:rPr>
        <w:drawing>
          <wp:inline distB="114300" distT="114300" distL="114300" distR="114300">
            <wp:extent cx="3569791" cy="2685607"/>
            <wp:effectExtent b="12700" l="12700" r="12700" t="1270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569791" cy="26856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 Stratified sex analyses of genome-wide significant GxE variants rs2268616. A. </w:t>
      </w:r>
      <w:r w:rsidDel="00000000" w:rsidR="00000000" w:rsidRPr="00000000">
        <w:rPr>
          <w:rFonts w:ascii="Times New Roman" w:cs="Times New Roman" w:eastAsia="Times New Roman" w:hAnsi="Times New Roman"/>
          <w:sz w:val="24"/>
          <w:szCs w:val="24"/>
          <w:rtl w:val="0"/>
        </w:rPr>
        <w:t xml:space="preserve">For rs2268616, the male heterozygous genotype have a higher prevalence of cases when stratified and experience a strong genetic effect (OR=1.79, CI=[1.43-2.24]), while females have a slight genetic effect (OR=1.45, CI=[1.11-1.9]). Since there are no cases for genotype 2, we cannot fully observe a clear association and additive effect, but we can observe heterozygous individuals, especially male, have more cases of worse outcomes of COVID. </w:t>
      </w: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For variant chr2:218260234, male heterozygous individuals have a strong genetic effect and high prevalence of cases when stratified (OR=1.8, CI=[1.47-2.19]), which was not seen in females (OR=1.03, CI=[0.779-1.35]).  Female homozygous genotypes have a slightly higher prevalence of cases when stratified. The small sample size causes limitations in our stratified genotype analysis of rs11115199 and rs148793499 since there are no homozygous recessive genotype cases for T2D compared to obesity.</w:t>
      </w:r>
    </w:p>
    <w:p w:rsidR="00000000" w:rsidDel="00000000" w:rsidP="00000000" w:rsidRDefault="00000000" w:rsidRPr="00000000" w14:paraId="00000016">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p_Value_marginal</w:t>
      </w:r>
    </w:p>
    <w:p w:rsidR="00000000" w:rsidDel="00000000" w:rsidP="00000000" w:rsidRDefault="00000000" w:rsidRPr="00000000" w14:paraId="00000018">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rs2268616  p=1.07885e-08</w:t>
      </w:r>
    </w:p>
    <w:p w:rsidR="00000000" w:rsidDel="00000000" w:rsidP="00000000" w:rsidRDefault="00000000" w:rsidRPr="00000000" w14:paraId="00000019">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2:218260234_AC_A  p=7.83969e-06</w:t>
      </w:r>
    </w:p>
    <w:p w:rsidR="00000000" w:rsidDel="00000000" w:rsidP="00000000" w:rsidRDefault="00000000" w:rsidRPr="00000000" w14:paraId="0000001A">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rs11115199  p= 0.408961</w:t>
      </w:r>
    </w:p>
    <w:p w:rsidR="00000000" w:rsidDel="00000000" w:rsidP="00000000" w:rsidRDefault="00000000" w:rsidRPr="00000000" w14:paraId="0000001B">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rs148793499 p=5.76211e-05</w:t>
      </w:r>
    </w:p>
    <w:p w:rsidR="00000000" w:rsidDel="00000000" w:rsidP="00000000" w:rsidRDefault="00000000" w:rsidRPr="00000000" w14:paraId="0000001C">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Rs182113773 p=  1.38578e-08; pint =  0.0529514 ,p_ joint = 2.71316e-08</w:t>
      </w:r>
    </w:p>
    <w:p w:rsidR="00000000" w:rsidDel="00000000" w:rsidP="00000000" w:rsidRDefault="00000000" w:rsidRPr="00000000" w14:paraId="0000001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