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FB09A" w14:textId="77777777" w:rsidR="000474BD" w:rsidRDefault="000474BD" w:rsidP="000474BD">
      <w:pPr>
        <w:pStyle w:val="Heading1"/>
        <w:jc w:val="center"/>
        <w:rPr>
          <w:rFonts w:eastAsiaTheme="minorEastAsia"/>
          <w:kern w:val="0"/>
        </w:rPr>
      </w:pPr>
      <w:bookmarkStart w:id="0" w:name="_Toc309815942"/>
      <w:r w:rsidRPr="000474BD">
        <w:rPr>
          <w:rFonts w:eastAsiaTheme="minorEastAsia"/>
          <w:kern w:val="0"/>
        </w:rPr>
        <w:t>Surface Science Simulation Instructions</w:t>
      </w:r>
    </w:p>
    <w:p w14:paraId="09079A4E" w14:textId="77777777" w:rsidR="00BD34D2" w:rsidRDefault="00BD34D2" w:rsidP="008D2A39">
      <w:pPr>
        <w:jc w:val="center"/>
      </w:pPr>
    </w:p>
    <w:p w14:paraId="1FBEC117" w14:textId="77777777" w:rsidR="008D2A39" w:rsidRDefault="008D2A39" w:rsidP="008D2A39">
      <w:pPr>
        <w:jc w:val="center"/>
      </w:pPr>
    </w:p>
    <w:p w14:paraId="7402418E" w14:textId="77777777" w:rsidR="008D2A39" w:rsidRDefault="008D2A39" w:rsidP="008D2A39">
      <w:pPr>
        <w:jc w:val="center"/>
      </w:pPr>
    </w:p>
    <w:sdt>
      <w:sdtPr>
        <w:rPr>
          <w:rFonts w:ascii="Times New Roman" w:eastAsiaTheme="minorEastAsia" w:hAnsi="Times New Roman"/>
          <w:b w:val="0"/>
          <w:bCs w:val="0"/>
          <w:color w:val="0000FF"/>
          <w:kern w:val="0"/>
          <w:sz w:val="24"/>
          <w:szCs w:val="24"/>
          <w:u w:val="single"/>
        </w:rPr>
        <w:id w:val="1558515405"/>
        <w:docPartObj>
          <w:docPartGallery w:val="Table of Contents"/>
          <w:docPartUnique/>
        </w:docPartObj>
      </w:sdtPr>
      <w:sdtEndPr/>
      <w:sdtContent>
        <w:p w14:paraId="1599D941" w14:textId="77777777" w:rsidR="00C447DA" w:rsidRDefault="008D2A39">
          <w:pPr>
            <w:pStyle w:val="TOCHeading"/>
          </w:pPr>
          <w:r>
            <w:t>Overview</w:t>
          </w:r>
        </w:p>
        <w:p w14:paraId="4A303F0C" w14:textId="77777777" w:rsidR="008D2A39" w:rsidRPr="008D2A39" w:rsidRDefault="008D2A39" w:rsidP="008D2A39"/>
        <w:p w14:paraId="37EF7E2F" w14:textId="77777777" w:rsidR="000474BD" w:rsidRDefault="007C5A5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C447DA">
            <w:instrText xml:space="preserve"> TOC \o "1-3" \h \z \u </w:instrText>
          </w:r>
          <w:r>
            <w:fldChar w:fldCharType="separate"/>
          </w:r>
          <w:hyperlink w:anchor="_Toc309824616" w:history="1">
            <w:r w:rsidR="000474BD" w:rsidRPr="00BB31A5">
              <w:rPr>
                <w:rStyle w:val="Hyperlink"/>
                <w:noProof/>
              </w:rPr>
              <w:t>Instructions</w:t>
            </w:r>
            <w:r w:rsidR="0004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4BD">
              <w:rPr>
                <w:noProof/>
                <w:webHidden/>
              </w:rPr>
              <w:instrText xml:space="preserve"> PAGEREF _Toc309824616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AE35" w14:textId="77777777" w:rsidR="000474BD" w:rsidRDefault="00D11979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309824617" w:history="1">
            <w:r w:rsidR="000474BD" w:rsidRPr="00BB31A5">
              <w:rPr>
                <w:rStyle w:val="Hyperlink"/>
                <w:noProof/>
              </w:rPr>
              <w:t>Download MATLAB</w:t>
            </w:r>
            <w:r w:rsidR="000474BD">
              <w:rPr>
                <w:noProof/>
                <w:webHidden/>
              </w:rPr>
              <w:tab/>
            </w:r>
            <w:r w:rsidR="007C5A5E">
              <w:rPr>
                <w:noProof/>
                <w:webHidden/>
              </w:rPr>
              <w:fldChar w:fldCharType="begin"/>
            </w:r>
            <w:r w:rsidR="000474BD">
              <w:rPr>
                <w:noProof/>
                <w:webHidden/>
              </w:rPr>
              <w:instrText xml:space="preserve"> PAGEREF _Toc309824617 \h </w:instrText>
            </w:r>
            <w:r w:rsidR="007C5A5E">
              <w:rPr>
                <w:noProof/>
                <w:webHidden/>
              </w:rPr>
            </w:r>
            <w:r w:rsidR="007C5A5E">
              <w:rPr>
                <w:noProof/>
                <w:webHidden/>
              </w:rPr>
              <w:fldChar w:fldCharType="separate"/>
            </w:r>
            <w:r w:rsidR="00B93910">
              <w:rPr>
                <w:noProof/>
                <w:webHidden/>
              </w:rPr>
              <w:t>2</w:t>
            </w:r>
            <w:r w:rsidR="007C5A5E">
              <w:rPr>
                <w:noProof/>
                <w:webHidden/>
              </w:rPr>
              <w:fldChar w:fldCharType="end"/>
            </w:r>
          </w:hyperlink>
        </w:p>
        <w:p w14:paraId="22D01EFE" w14:textId="77777777" w:rsidR="000474BD" w:rsidRDefault="00D11979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309824618" w:history="1">
            <w:r w:rsidR="000474BD" w:rsidRPr="00BB31A5">
              <w:rPr>
                <w:rStyle w:val="Hyperlink"/>
                <w:noProof/>
              </w:rPr>
              <w:t>Download Files</w:t>
            </w:r>
            <w:r w:rsidR="000474BD">
              <w:rPr>
                <w:noProof/>
                <w:webHidden/>
              </w:rPr>
              <w:tab/>
            </w:r>
            <w:r w:rsidR="007C5A5E">
              <w:rPr>
                <w:noProof/>
                <w:webHidden/>
              </w:rPr>
              <w:fldChar w:fldCharType="begin"/>
            </w:r>
            <w:r w:rsidR="000474BD">
              <w:rPr>
                <w:noProof/>
                <w:webHidden/>
              </w:rPr>
              <w:instrText xml:space="preserve"> PAGEREF _Toc309824618 \h </w:instrText>
            </w:r>
            <w:r w:rsidR="007C5A5E">
              <w:rPr>
                <w:noProof/>
                <w:webHidden/>
              </w:rPr>
            </w:r>
            <w:r w:rsidR="007C5A5E">
              <w:rPr>
                <w:noProof/>
                <w:webHidden/>
              </w:rPr>
              <w:fldChar w:fldCharType="separate"/>
            </w:r>
            <w:r w:rsidR="00B93910">
              <w:rPr>
                <w:noProof/>
                <w:webHidden/>
              </w:rPr>
              <w:t>2</w:t>
            </w:r>
            <w:r w:rsidR="007C5A5E">
              <w:rPr>
                <w:noProof/>
                <w:webHidden/>
              </w:rPr>
              <w:fldChar w:fldCharType="end"/>
            </w:r>
          </w:hyperlink>
        </w:p>
        <w:p w14:paraId="64A0EAD5" w14:textId="77777777" w:rsidR="000474BD" w:rsidRDefault="00D11979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309824620" w:history="1">
            <w:r w:rsidR="000474BD" w:rsidRPr="00BB31A5">
              <w:rPr>
                <w:rStyle w:val="Hyperlink"/>
                <w:noProof/>
              </w:rPr>
              <w:t>Run Simulations</w:t>
            </w:r>
            <w:r w:rsidR="000474BD">
              <w:rPr>
                <w:noProof/>
                <w:webHidden/>
              </w:rPr>
              <w:tab/>
            </w:r>
            <w:r w:rsidR="007C5A5E">
              <w:rPr>
                <w:noProof/>
                <w:webHidden/>
              </w:rPr>
              <w:fldChar w:fldCharType="begin"/>
            </w:r>
            <w:r w:rsidR="000474BD">
              <w:rPr>
                <w:noProof/>
                <w:webHidden/>
              </w:rPr>
              <w:instrText xml:space="preserve"> PAGEREF _Toc309824620 \h </w:instrText>
            </w:r>
            <w:r w:rsidR="007C5A5E">
              <w:rPr>
                <w:noProof/>
                <w:webHidden/>
              </w:rPr>
            </w:r>
            <w:r w:rsidR="007C5A5E">
              <w:rPr>
                <w:noProof/>
                <w:webHidden/>
              </w:rPr>
              <w:fldChar w:fldCharType="separate"/>
            </w:r>
            <w:r w:rsidR="00B93910">
              <w:rPr>
                <w:noProof/>
                <w:webHidden/>
              </w:rPr>
              <w:t>3</w:t>
            </w:r>
            <w:r w:rsidR="007C5A5E">
              <w:rPr>
                <w:noProof/>
                <w:webHidden/>
              </w:rPr>
              <w:fldChar w:fldCharType="end"/>
            </w:r>
          </w:hyperlink>
        </w:p>
        <w:p w14:paraId="0C5DD5C2" w14:textId="77777777" w:rsidR="000474BD" w:rsidRDefault="00D11979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309824621" w:history="1">
            <w:r w:rsidR="000474BD" w:rsidRPr="00BB31A5">
              <w:rPr>
                <w:rStyle w:val="Hyperlink"/>
                <w:noProof/>
              </w:rPr>
              <w:t>Simulation Overview</w:t>
            </w:r>
            <w:r w:rsidR="000474BD">
              <w:rPr>
                <w:noProof/>
                <w:webHidden/>
              </w:rPr>
              <w:tab/>
            </w:r>
            <w:r w:rsidR="007C5A5E">
              <w:rPr>
                <w:noProof/>
                <w:webHidden/>
              </w:rPr>
              <w:fldChar w:fldCharType="begin"/>
            </w:r>
            <w:r w:rsidR="000474BD">
              <w:rPr>
                <w:noProof/>
                <w:webHidden/>
              </w:rPr>
              <w:instrText xml:space="preserve"> PAGEREF _Toc309824621 \h </w:instrText>
            </w:r>
            <w:r w:rsidR="007C5A5E">
              <w:rPr>
                <w:noProof/>
                <w:webHidden/>
              </w:rPr>
            </w:r>
            <w:r w:rsidR="007C5A5E">
              <w:rPr>
                <w:noProof/>
                <w:webHidden/>
              </w:rPr>
              <w:fldChar w:fldCharType="separate"/>
            </w:r>
            <w:r w:rsidR="00B93910">
              <w:rPr>
                <w:noProof/>
                <w:webHidden/>
              </w:rPr>
              <w:t>4</w:t>
            </w:r>
            <w:r w:rsidR="007C5A5E">
              <w:rPr>
                <w:noProof/>
                <w:webHidden/>
              </w:rPr>
              <w:fldChar w:fldCharType="end"/>
            </w:r>
          </w:hyperlink>
        </w:p>
        <w:p w14:paraId="06DE27EE" w14:textId="77777777" w:rsidR="000474BD" w:rsidRDefault="00D11979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309824622" w:history="1">
            <w:r w:rsidR="000474BD" w:rsidRPr="00BB31A5">
              <w:rPr>
                <w:rStyle w:val="Hyperlink"/>
                <w:noProof/>
              </w:rPr>
              <w:t>Simulation Specific Instructions</w:t>
            </w:r>
            <w:r w:rsidR="000474BD">
              <w:rPr>
                <w:noProof/>
                <w:webHidden/>
              </w:rPr>
              <w:tab/>
            </w:r>
            <w:r w:rsidR="007C5A5E">
              <w:rPr>
                <w:noProof/>
                <w:webHidden/>
              </w:rPr>
              <w:fldChar w:fldCharType="begin"/>
            </w:r>
            <w:r w:rsidR="000474BD">
              <w:rPr>
                <w:noProof/>
                <w:webHidden/>
              </w:rPr>
              <w:instrText xml:space="preserve"> PAGEREF _Toc309824622 \h </w:instrText>
            </w:r>
            <w:r w:rsidR="007C5A5E">
              <w:rPr>
                <w:noProof/>
                <w:webHidden/>
              </w:rPr>
            </w:r>
            <w:r w:rsidR="007C5A5E">
              <w:rPr>
                <w:noProof/>
                <w:webHidden/>
              </w:rPr>
              <w:fldChar w:fldCharType="separate"/>
            </w:r>
            <w:r w:rsidR="00B93910">
              <w:rPr>
                <w:noProof/>
                <w:webHidden/>
              </w:rPr>
              <w:t>5</w:t>
            </w:r>
            <w:r w:rsidR="007C5A5E">
              <w:rPr>
                <w:noProof/>
                <w:webHidden/>
              </w:rPr>
              <w:fldChar w:fldCharType="end"/>
            </w:r>
          </w:hyperlink>
        </w:p>
        <w:p w14:paraId="13AE8EA2" w14:textId="77777777" w:rsidR="000474BD" w:rsidRDefault="00D11979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309824623" w:history="1">
            <w:r w:rsidR="000474BD" w:rsidRPr="00BB31A5">
              <w:rPr>
                <w:rStyle w:val="Hyperlink"/>
                <w:noProof/>
              </w:rPr>
              <w:t>References</w:t>
            </w:r>
            <w:r w:rsidR="000474BD">
              <w:rPr>
                <w:noProof/>
                <w:webHidden/>
              </w:rPr>
              <w:tab/>
            </w:r>
            <w:r w:rsidR="007C5A5E">
              <w:rPr>
                <w:noProof/>
                <w:webHidden/>
              </w:rPr>
              <w:fldChar w:fldCharType="begin"/>
            </w:r>
            <w:r w:rsidR="000474BD">
              <w:rPr>
                <w:noProof/>
                <w:webHidden/>
              </w:rPr>
              <w:instrText xml:space="preserve"> PAGEREF _Toc309824623 \h </w:instrText>
            </w:r>
            <w:r w:rsidR="007C5A5E">
              <w:rPr>
                <w:noProof/>
                <w:webHidden/>
              </w:rPr>
            </w:r>
            <w:r w:rsidR="007C5A5E">
              <w:rPr>
                <w:noProof/>
                <w:webHidden/>
              </w:rPr>
              <w:fldChar w:fldCharType="separate"/>
            </w:r>
            <w:r w:rsidR="00B93910">
              <w:rPr>
                <w:noProof/>
                <w:webHidden/>
              </w:rPr>
              <w:t>8</w:t>
            </w:r>
            <w:r w:rsidR="007C5A5E">
              <w:rPr>
                <w:noProof/>
                <w:webHidden/>
              </w:rPr>
              <w:fldChar w:fldCharType="end"/>
            </w:r>
          </w:hyperlink>
        </w:p>
        <w:p w14:paraId="2AA2A708" w14:textId="77777777" w:rsidR="00C447DA" w:rsidRDefault="007C5A5E">
          <w:r>
            <w:fldChar w:fldCharType="end"/>
          </w:r>
        </w:p>
      </w:sdtContent>
    </w:sdt>
    <w:p w14:paraId="3CEEB101" w14:textId="77777777" w:rsidR="00C447DA" w:rsidRDefault="00C447D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2C0937B3" w14:textId="77777777" w:rsidR="00901B71" w:rsidRDefault="003E622A" w:rsidP="003E622A">
      <w:pPr>
        <w:pStyle w:val="Heading1"/>
      </w:pPr>
      <w:bookmarkStart w:id="1" w:name="_Toc309824616"/>
      <w:r>
        <w:lastRenderedPageBreak/>
        <w:t>Instructions</w:t>
      </w:r>
      <w:bookmarkEnd w:id="0"/>
      <w:bookmarkEnd w:id="1"/>
    </w:p>
    <w:p w14:paraId="78AA9AAD" w14:textId="77777777" w:rsidR="003E622A" w:rsidRDefault="003E622A" w:rsidP="003E622A"/>
    <w:p w14:paraId="43FCD815" w14:textId="77777777" w:rsidR="003E622A" w:rsidRPr="003E622A" w:rsidRDefault="003E622A" w:rsidP="003E622A">
      <w:pPr>
        <w:pStyle w:val="Heading3"/>
      </w:pPr>
      <w:bookmarkStart w:id="2" w:name="_Toc309815943"/>
      <w:bookmarkStart w:id="3" w:name="_Toc309824617"/>
      <w:r>
        <w:t>Download MATLAB</w:t>
      </w:r>
      <w:bookmarkEnd w:id="2"/>
      <w:bookmarkEnd w:id="3"/>
    </w:p>
    <w:p w14:paraId="55FA7392" w14:textId="10DFEF31" w:rsidR="003E622A" w:rsidRDefault="003E622A">
      <w:r>
        <w:t>MATLAB is free to all Princeton students.  It may be downloaded by following the instructions here:</w:t>
      </w:r>
    </w:p>
    <w:p w14:paraId="04308EFF" w14:textId="77777777" w:rsidR="003E622A" w:rsidRDefault="003E622A"/>
    <w:p w14:paraId="55EA6FC7" w14:textId="77777777" w:rsidR="003E622A" w:rsidRDefault="00D11979">
      <w:hyperlink r:id="rId5" w:history="1">
        <w:r w:rsidR="003E622A">
          <w:rPr>
            <w:rStyle w:val="Hyperlink"/>
          </w:rPr>
          <w:t>http://www.princeton.edu/software/licenses/software/matlab/</w:t>
        </w:r>
      </w:hyperlink>
    </w:p>
    <w:p w14:paraId="1DCF0667" w14:textId="77777777" w:rsidR="003E622A" w:rsidRDefault="003E622A"/>
    <w:p w14:paraId="2A35607B" w14:textId="77777777" w:rsidR="00E44931" w:rsidRPr="00E44931" w:rsidRDefault="00E44931" w:rsidP="00E44931">
      <w:bookmarkStart w:id="4" w:name="_Toc309815944"/>
      <w:bookmarkStart w:id="5" w:name="_Toc309824618"/>
      <w:r w:rsidRPr="00E44931">
        <w:t>NOTE:  MATLAB</w:t>
      </w:r>
      <w:r>
        <w:t xml:space="preserve"> </w:t>
      </w:r>
      <w:r w:rsidRPr="00E44931">
        <w:t xml:space="preserve">is </w:t>
      </w:r>
      <w:r>
        <w:t>also installed/</w:t>
      </w:r>
      <w:r w:rsidRPr="00E44931">
        <w:t xml:space="preserve">available for </w:t>
      </w:r>
      <w:r>
        <w:t xml:space="preserve">students to </w:t>
      </w:r>
      <w:r w:rsidRPr="00E44931">
        <w:t>use on any of the public computers in the Engineering Library.</w:t>
      </w:r>
    </w:p>
    <w:p w14:paraId="5CC317F6" w14:textId="77777777" w:rsidR="003E622A" w:rsidRDefault="003E622A" w:rsidP="003E622A">
      <w:pPr>
        <w:pStyle w:val="Heading3"/>
      </w:pPr>
      <w:r>
        <w:t>Download Files</w:t>
      </w:r>
      <w:bookmarkEnd w:id="4"/>
      <w:bookmarkEnd w:id="5"/>
    </w:p>
    <w:p w14:paraId="437B2AEF" w14:textId="77777777" w:rsidR="003E622A" w:rsidRDefault="003E622A">
      <w:r>
        <w:t>There are four simulations:</w:t>
      </w:r>
    </w:p>
    <w:p w14:paraId="672AE23F" w14:textId="77777777" w:rsidR="003E622A" w:rsidRDefault="003E622A"/>
    <w:p w14:paraId="73367967" w14:textId="77777777" w:rsidR="003E622A" w:rsidRDefault="003E622A" w:rsidP="003E622A">
      <w:pPr>
        <w:pStyle w:val="ListParagraph"/>
        <w:numPr>
          <w:ilvl w:val="0"/>
          <w:numId w:val="1"/>
        </w:numPr>
      </w:pPr>
      <w:proofErr w:type="spellStart"/>
      <w:r>
        <w:t>TPD</w:t>
      </w:r>
      <w:r w:rsidR="001D2799">
        <w:t>.m</w:t>
      </w:r>
      <w:proofErr w:type="spellEnd"/>
    </w:p>
    <w:p w14:paraId="0BDC618D" w14:textId="77777777" w:rsidR="00C447DA" w:rsidRDefault="00C447DA" w:rsidP="00C447DA">
      <w:pPr>
        <w:pStyle w:val="ListParagraph"/>
        <w:numPr>
          <w:ilvl w:val="0"/>
          <w:numId w:val="1"/>
        </w:numPr>
      </w:pPr>
      <w:proofErr w:type="spellStart"/>
      <w:r>
        <w:t>Layer.m</w:t>
      </w:r>
      <w:proofErr w:type="spellEnd"/>
    </w:p>
    <w:p w14:paraId="20971EE3" w14:textId="77777777" w:rsidR="003E622A" w:rsidRDefault="003E622A" w:rsidP="003E622A">
      <w:pPr>
        <w:pStyle w:val="ListParagraph"/>
        <w:numPr>
          <w:ilvl w:val="0"/>
          <w:numId w:val="1"/>
        </w:numPr>
      </w:pPr>
      <w:proofErr w:type="spellStart"/>
      <w:r>
        <w:t>Langmuir</w:t>
      </w:r>
      <w:r w:rsidR="001D2799">
        <w:t>.m</w:t>
      </w:r>
      <w:proofErr w:type="spellEnd"/>
    </w:p>
    <w:p w14:paraId="6088BAF0" w14:textId="77777777" w:rsidR="003E622A" w:rsidRDefault="003E622A" w:rsidP="003E622A">
      <w:pPr>
        <w:pStyle w:val="ListParagraph"/>
        <w:numPr>
          <w:ilvl w:val="0"/>
          <w:numId w:val="1"/>
        </w:numPr>
      </w:pPr>
      <w:proofErr w:type="spellStart"/>
      <w:r>
        <w:t>Sticking</w:t>
      </w:r>
      <w:r w:rsidR="001D2799">
        <w:t>.m</w:t>
      </w:r>
      <w:proofErr w:type="spellEnd"/>
    </w:p>
    <w:p w14:paraId="6A3CD7C7" w14:textId="77777777" w:rsidR="003E622A" w:rsidRDefault="003E622A"/>
    <w:p w14:paraId="0AFBA77D" w14:textId="77777777" w:rsidR="001D2799" w:rsidRDefault="00E04535" w:rsidP="001D2799">
      <w:pPr>
        <w:pStyle w:val="Heading3"/>
      </w:pPr>
      <w:bookmarkStart w:id="6" w:name="_Toc309815946"/>
      <w:bookmarkStart w:id="7" w:name="_Toc309824620"/>
      <w:r>
        <w:t>Run Simulations</w:t>
      </w:r>
      <w:bookmarkEnd w:id="6"/>
      <w:bookmarkEnd w:id="7"/>
    </w:p>
    <w:p w14:paraId="735522CD" w14:textId="77777777" w:rsidR="001D2799" w:rsidRDefault="00E04535">
      <w:r>
        <w:t xml:space="preserve">Open the </w:t>
      </w:r>
      <w:r w:rsidR="001D2799">
        <w:t xml:space="preserve">desired </w:t>
      </w:r>
      <w:proofErr w:type="spellStart"/>
      <w:r w:rsidR="001D2799">
        <w:t>mfile</w:t>
      </w:r>
      <w:proofErr w:type="spellEnd"/>
      <w:r w:rsidR="001D2799">
        <w:t xml:space="preserve">.  Matlab should open and your screen will appear as shown in Figure </w:t>
      </w:r>
      <w:r w:rsidR="00DA752A">
        <w:t>1</w:t>
      </w:r>
      <w:r w:rsidR="001D2799">
        <w:t>.  To start the simulation, press the green “run” button, circled in Figur</w:t>
      </w:r>
      <w:r w:rsidR="00DA752A">
        <w:t>e 1</w:t>
      </w:r>
      <w:r w:rsidR="001D2799">
        <w:t xml:space="preserve">.  </w:t>
      </w:r>
    </w:p>
    <w:p w14:paraId="0F01C9D4" w14:textId="77777777" w:rsidR="00E92917" w:rsidRDefault="00E92917"/>
    <w:p w14:paraId="52A87D91" w14:textId="40041464" w:rsidR="00E92917" w:rsidRDefault="00E92917">
      <w:r>
        <w:t>If you see a Dialog Box, click the “Add to Path” button.</w:t>
      </w:r>
    </w:p>
    <w:p w14:paraId="778F11C6" w14:textId="77777777" w:rsidR="00E92917" w:rsidRDefault="00E92917"/>
    <w:p w14:paraId="46A9C3C7" w14:textId="05457BD5" w:rsidR="00E92917" w:rsidRDefault="00E92917">
      <w:r>
        <w:t>This should open a new window entitled “Figure 1”.</w:t>
      </w:r>
    </w:p>
    <w:p w14:paraId="2424FBC0" w14:textId="77777777" w:rsidR="001D2799" w:rsidRDefault="001D2799"/>
    <w:p w14:paraId="39DAB02B" w14:textId="77777777" w:rsidR="001D2799" w:rsidRDefault="001D2799"/>
    <w:p w14:paraId="15A53D09" w14:textId="77777777" w:rsidR="001D2799" w:rsidRDefault="001D2799" w:rsidP="00656B6B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A30DAFA" wp14:editId="5F4D61FD">
            <wp:extent cx="5777901" cy="35206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39" cy="352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34CD2" w14:textId="77777777" w:rsidR="001D2799" w:rsidRPr="00A471FF" w:rsidRDefault="00DA752A" w:rsidP="00DA752A">
      <w:pPr>
        <w:jc w:val="center"/>
        <w:rPr>
          <w:b/>
          <w:sz w:val="18"/>
          <w:szCs w:val="18"/>
        </w:rPr>
      </w:pPr>
      <w:r w:rsidRPr="00A471FF">
        <w:rPr>
          <w:b/>
          <w:sz w:val="18"/>
          <w:szCs w:val="18"/>
        </w:rPr>
        <w:t>Figure 1 - Simulation start up</w:t>
      </w:r>
    </w:p>
    <w:p w14:paraId="08470A3B" w14:textId="77777777" w:rsidR="00B93910" w:rsidRDefault="00B93910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8" w:name="_Toc309815947"/>
      <w:bookmarkStart w:id="9" w:name="_Toc309824621"/>
      <w:r>
        <w:br w:type="page"/>
      </w:r>
    </w:p>
    <w:p w14:paraId="28602951" w14:textId="77777777" w:rsidR="0086113F" w:rsidRDefault="0086113F" w:rsidP="0086113F">
      <w:pPr>
        <w:pStyle w:val="Heading3"/>
      </w:pPr>
      <w:r>
        <w:lastRenderedPageBreak/>
        <w:t>Simulation Overview</w:t>
      </w:r>
      <w:bookmarkEnd w:id="8"/>
      <w:bookmarkEnd w:id="9"/>
    </w:p>
    <w:p w14:paraId="0C1DBE87" w14:textId="77777777" w:rsidR="0086113F" w:rsidRPr="00A471FF" w:rsidRDefault="0086113F" w:rsidP="00A471FF">
      <w:pPr>
        <w:jc w:val="center"/>
        <w:rPr>
          <w:b/>
          <w:sz w:val="18"/>
          <w:szCs w:val="18"/>
        </w:rPr>
      </w:pPr>
      <w:r w:rsidRPr="00A471FF">
        <w:rPr>
          <w:b/>
          <w:noProof/>
          <w:sz w:val="18"/>
          <w:szCs w:val="18"/>
          <w:lang w:bidi="ar-SA"/>
        </w:rPr>
        <w:drawing>
          <wp:inline distT="0" distB="0" distL="0" distR="0" wp14:anchorId="36B51774" wp14:editId="5C51903C">
            <wp:extent cx="5943600" cy="2886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FA10" w14:textId="77777777" w:rsidR="00D9128C" w:rsidRPr="00A471FF" w:rsidRDefault="00D9128C" w:rsidP="00D9128C">
      <w:pPr>
        <w:jc w:val="center"/>
        <w:rPr>
          <w:b/>
          <w:sz w:val="18"/>
          <w:szCs w:val="18"/>
        </w:rPr>
      </w:pPr>
      <w:r w:rsidRPr="00A471FF">
        <w:rPr>
          <w:b/>
          <w:sz w:val="18"/>
          <w:szCs w:val="18"/>
        </w:rPr>
        <w:t xml:space="preserve">Figure </w:t>
      </w:r>
      <w:r w:rsidR="00DA752A" w:rsidRPr="00A471FF">
        <w:rPr>
          <w:b/>
          <w:sz w:val="18"/>
          <w:szCs w:val="18"/>
        </w:rPr>
        <w:t>2</w:t>
      </w:r>
      <w:r w:rsidRPr="00A471FF">
        <w:rPr>
          <w:b/>
          <w:sz w:val="18"/>
          <w:szCs w:val="18"/>
        </w:rPr>
        <w:t xml:space="preserve"> - Simulation overview</w:t>
      </w:r>
    </w:p>
    <w:p w14:paraId="14E01A6C" w14:textId="77777777" w:rsidR="00656B6B" w:rsidRPr="0086113F" w:rsidRDefault="00656B6B" w:rsidP="00D9128C">
      <w:pPr>
        <w:jc w:val="center"/>
      </w:pPr>
    </w:p>
    <w:p w14:paraId="74625635" w14:textId="77777777" w:rsidR="001D2799" w:rsidRDefault="0086113F">
      <w:r>
        <w:t xml:space="preserve">All simulations have a similar </w:t>
      </w:r>
      <w:r w:rsidR="00DA752A">
        <w:t>layout as that shown in Figure 2</w:t>
      </w:r>
      <w:r>
        <w:t xml:space="preserve">.  The </w:t>
      </w:r>
      <w:proofErr w:type="gramStart"/>
      <w:r>
        <w:t>left hand</w:t>
      </w:r>
      <w:proofErr w:type="gramEnd"/>
      <w:r>
        <w:t xml:space="preserve"> side contains an introduction and background with equations and variables used in the simulation, as well as a table containing the numerical output of the simulation data.  The center graphically represents the calculations made by the simulation.  The </w:t>
      </w:r>
      <w:proofErr w:type="gramStart"/>
      <w:r>
        <w:t>right hand</w:t>
      </w:r>
      <w:proofErr w:type="gramEnd"/>
      <w:r>
        <w:t xml:space="preserve"> side contains a parameters box where users may specify the desired parameters to input into the simulated equation.  The </w:t>
      </w:r>
      <w:proofErr w:type="gramStart"/>
      <w:r>
        <w:t>right hand</w:t>
      </w:r>
      <w:proofErr w:type="gramEnd"/>
      <w:r>
        <w:t xml:space="preserve"> side also contains the Plot button, used to begin the simulation after the user has </w:t>
      </w:r>
      <w:r w:rsidR="00C01203">
        <w:t>completed</w:t>
      </w:r>
      <w:r>
        <w:t xml:space="preserve"> editing the desired input parameters. </w:t>
      </w:r>
    </w:p>
    <w:p w14:paraId="7B921933" w14:textId="77777777" w:rsidR="00B93910" w:rsidRDefault="00B93910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10" w:name="_Toc309815948"/>
      <w:bookmarkStart w:id="11" w:name="_Toc309824622"/>
      <w:r>
        <w:br w:type="page"/>
      </w:r>
    </w:p>
    <w:p w14:paraId="2EDDB3BD" w14:textId="77777777" w:rsidR="001D2799" w:rsidRDefault="001D2799" w:rsidP="001D2799">
      <w:pPr>
        <w:pStyle w:val="Heading3"/>
      </w:pPr>
      <w:r>
        <w:lastRenderedPageBreak/>
        <w:t>Simulation Specific Instructions</w:t>
      </w:r>
      <w:bookmarkEnd w:id="10"/>
      <w:bookmarkEnd w:id="11"/>
      <w:r>
        <w:t xml:space="preserve"> </w:t>
      </w:r>
    </w:p>
    <w:p w14:paraId="0A451708" w14:textId="77777777" w:rsidR="001D2799" w:rsidRDefault="001D2799" w:rsidP="00C447DA">
      <w:pPr>
        <w:pStyle w:val="Heading4"/>
      </w:pPr>
      <w:r>
        <w:t>TPD</w:t>
      </w:r>
      <w:r w:rsidR="00D9128C">
        <w:t xml:space="preserve"> </w:t>
      </w:r>
    </w:p>
    <w:p w14:paraId="17913852" w14:textId="77777777" w:rsidR="001D2799" w:rsidRDefault="00D9128C" w:rsidP="001D2799">
      <w:r>
        <w:t>This simulation has the most functionality and it requires some explanation on its use</w:t>
      </w:r>
      <w:r w:rsidR="00800A37">
        <w:t>.</w:t>
      </w:r>
    </w:p>
    <w:p w14:paraId="392A4DEC" w14:textId="77777777" w:rsidR="00A471FF" w:rsidRPr="001D2799" w:rsidRDefault="00A471FF" w:rsidP="001D2799"/>
    <w:p w14:paraId="26FC300D" w14:textId="77777777" w:rsidR="001D2799" w:rsidRDefault="006C2549">
      <w:r>
        <w:rPr>
          <w:noProof/>
          <w:lang w:bidi="ar-SA"/>
        </w:rPr>
        <w:drawing>
          <wp:inline distT="0" distB="0" distL="0" distR="0" wp14:anchorId="4017387F" wp14:editId="55DF2CCA">
            <wp:extent cx="5939790" cy="350393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C29FB" w14:textId="77777777" w:rsidR="0086113F" w:rsidRPr="00A471FF" w:rsidRDefault="00DA752A" w:rsidP="00D9128C">
      <w:pPr>
        <w:jc w:val="center"/>
        <w:rPr>
          <w:b/>
          <w:sz w:val="18"/>
          <w:szCs w:val="18"/>
        </w:rPr>
      </w:pPr>
      <w:r w:rsidRPr="00A471FF">
        <w:rPr>
          <w:b/>
          <w:sz w:val="18"/>
          <w:szCs w:val="18"/>
        </w:rPr>
        <w:t>Figure 3</w:t>
      </w:r>
      <w:r w:rsidR="00D9128C" w:rsidRPr="00A471FF">
        <w:rPr>
          <w:b/>
          <w:sz w:val="18"/>
          <w:szCs w:val="18"/>
        </w:rPr>
        <w:t xml:space="preserve"> - TPD simulation</w:t>
      </w:r>
    </w:p>
    <w:p w14:paraId="3A73520F" w14:textId="77777777" w:rsidR="0086113F" w:rsidRDefault="0086113F" w:rsidP="0086113F">
      <w:pPr>
        <w:pStyle w:val="ListParagraph"/>
        <w:numPr>
          <w:ilvl w:val="0"/>
          <w:numId w:val="2"/>
        </w:numPr>
      </w:pPr>
      <w:r>
        <w:t>Graphs</w:t>
      </w:r>
    </w:p>
    <w:p w14:paraId="751FD50D" w14:textId="77777777" w:rsidR="0086113F" w:rsidRDefault="00D9128C" w:rsidP="0086113F">
      <w:pPr>
        <w:pStyle w:val="ListParagraph"/>
        <w:numPr>
          <w:ilvl w:val="1"/>
          <w:numId w:val="2"/>
        </w:numPr>
      </w:pPr>
      <w:r>
        <w:t>D</w:t>
      </w:r>
      <w:r w:rsidR="0086113F">
        <w:t>esorption spectra (top graph)</w:t>
      </w:r>
    </w:p>
    <w:p w14:paraId="613D3820" w14:textId="77777777" w:rsidR="0086113F" w:rsidRDefault="00D9128C" w:rsidP="0086113F">
      <w:pPr>
        <w:pStyle w:val="ListParagraph"/>
        <w:numPr>
          <w:ilvl w:val="1"/>
          <w:numId w:val="2"/>
        </w:numPr>
      </w:pPr>
      <w:r>
        <w:t>C</w:t>
      </w:r>
      <w:r w:rsidR="0086113F">
        <w:t xml:space="preserve">orresponding surface coverage spectra (bottom graph).  </w:t>
      </w:r>
    </w:p>
    <w:p w14:paraId="049F0CC1" w14:textId="77777777" w:rsidR="0086113F" w:rsidRDefault="0086113F" w:rsidP="0086113F">
      <w:pPr>
        <w:pStyle w:val="ListParagraph"/>
        <w:numPr>
          <w:ilvl w:val="0"/>
          <w:numId w:val="2"/>
        </w:numPr>
      </w:pPr>
      <w:r>
        <w:t xml:space="preserve">Calculations </w:t>
      </w:r>
    </w:p>
    <w:p w14:paraId="64B8F585" w14:textId="6FE30FFC" w:rsidR="0086113F" w:rsidRDefault="0086113F" w:rsidP="0086113F">
      <w:pPr>
        <w:pStyle w:val="ListParagraph"/>
        <w:numPr>
          <w:ilvl w:val="1"/>
          <w:numId w:val="2"/>
        </w:numPr>
      </w:pPr>
      <w:r>
        <w:t xml:space="preserve">It can </w:t>
      </w:r>
      <w:r w:rsidR="00D9128C">
        <w:t>c</w:t>
      </w:r>
      <w:r>
        <w:t>alculate a peak temperature from an activation energy, or vice versa.  Once a user has enter</w:t>
      </w:r>
      <w:r w:rsidR="00A25DD4">
        <w:t>ed a value into either of these</w:t>
      </w:r>
      <w:r>
        <w:t xml:space="preserve"> fields, and presses ENTER, the other field will update with the corresponding calculation NOTE: If any of the parameters above are altered, the calculated TP or </w:t>
      </w:r>
      <w:proofErr w:type="spellStart"/>
      <w:r>
        <w:t>Ea</w:t>
      </w:r>
      <w:proofErr w:type="spellEnd"/>
      <w:r>
        <w:t xml:space="preserve"> will not update – one must press ENTER in the box of the known value, for the program to reassess the calculated value with the updated parameters</w:t>
      </w:r>
    </w:p>
    <w:p w14:paraId="26AFCC01" w14:textId="77777777" w:rsidR="0086113F" w:rsidRDefault="0014206C" w:rsidP="0086113F">
      <w:pPr>
        <w:pStyle w:val="ListParagraph"/>
        <w:numPr>
          <w:ilvl w:val="0"/>
          <w:numId w:val="2"/>
        </w:numPr>
      </w:pPr>
      <w:r>
        <w:t>A</w:t>
      </w:r>
      <w:r w:rsidR="0086113F">
        <w:t>xes</w:t>
      </w:r>
      <w:r w:rsidR="001B4B18">
        <w:t xml:space="preserve"> – change graph axes</w:t>
      </w:r>
    </w:p>
    <w:p w14:paraId="4132104A" w14:textId="70E4F58B" w:rsidR="0086113F" w:rsidRDefault="0086113F" w:rsidP="0086113F">
      <w:pPr>
        <w:pStyle w:val="ListParagraph"/>
        <w:numPr>
          <w:ilvl w:val="1"/>
          <w:numId w:val="2"/>
        </w:numPr>
      </w:pPr>
      <w:r>
        <w:t>The</w:t>
      </w:r>
      <w:r w:rsidR="00D9128C">
        <w:t xml:space="preserve"> top</w:t>
      </w:r>
      <w:r>
        <w:t xml:space="preserve"> graph axes can</w:t>
      </w:r>
      <w:r w:rsidR="00B821FA">
        <w:t xml:space="preserve"> be altered by changing the </w:t>
      </w:r>
      <w:r w:rsidR="00A471FF">
        <w:t>Initial</w:t>
      </w:r>
      <w:r w:rsidR="00A25DD4">
        <w:t xml:space="preserve"> Temp and Final Temp values</w:t>
      </w:r>
      <w:r w:rsidR="00D9128C">
        <w:t xml:space="preserve"> </w:t>
      </w:r>
      <w:r>
        <w:t>in the parameters panel</w:t>
      </w:r>
    </w:p>
    <w:p w14:paraId="38A7BD20" w14:textId="77777777" w:rsidR="0086113F" w:rsidRDefault="0086113F" w:rsidP="0086113F">
      <w:pPr>
        <w:pStyle w:val="ListParagraph"/>
        <w:numPr>
          <w:ilvl w:val="0"/>
          <w:numId w:val="2"/>
        </w:numPr>
      </w:pPr>
      <w:r>
        <w:t xml:space="preserve">Coverage </w:t>
      </w:r>
    </w:p>
    <w:p w14:paraId="160F5117" w14:textId="77777777" w:rsidR="0086113F" w:rsidRDefault="0086113F" w:rsidP="0086113F">
      <w:pPr>
        <w:pStyle w:val="ListParagraph"/>
        <w:numPr>
          <w:ilvl w:val="1"/>
          <w:numId w:val="2"/>
        </w:numPr>
      </w:pPr>
      <w:r>
        <w:t xml:space="preserve">The checkboxes are used to </w:t>
      </w:r>
      <w:r w:rsidR="00B70B7B">
        <w:t xml:space="preserve">graphically </w:t>
      </w:r>
      <w:r>
        <w:t>display the data for different percentages of initial coverage</w:t>
      </w:r>
    </w:p>
    <w:p w14:paraId="64A69860" w14:textId="77777777" w:rsidR="00A471FF" w:rsidRDefault="00A471FF" w:rsidP="00A471FF">
      <w:pPr>
        <w:pStyle w:val="ListParagraph"/>
      </w:pPr>
    </w:p>
    <w:p w14:paraId="66307D7B" w14:textId="77777777" w:rsidR="00A471FF" w:rsidRDefault="00A471FF" w:rsidP="00A471FF">
      <w:pPr>
        <w:pStyle w:val="ListParagraph"/>
        <w:numPr>
          <w:ilvl w:val="0"/>
          <w:numId w:val="2"/>
        </w:numPr>
      </w:pPr>
      <w:r>
        <w:t>Reaction Order (Important)</w:t>
      </w:r>
    </w:p>
    <w:p w14:paraId="6D4AB305" w14:textId="77777777" w:rsidR="00A471FF" w:rsidRDefault="00A471FF" w:rsidP="00A471FF">
      <w:pPr>
        <w:pStyle w:val="ListParagraph"/>
        <w:numPr>
          <w:ilvl w:val="1"/>
          <w:numId w:val="2"/>
        </w:numPr>
      </w:pPr>
      <w:r>
        <w:t xml:space="preserve">One must be certain to set the proper value of the </w:t>
      </w:r>
      <w:proofErr w:type="spellStart"/>
      <w:r>
        <w:t>prexponential</w:t>
      </w:r>
      <w:proofErr w:type="spellEnd"/>
      <w:r>
        <w:t>, v, as this varies with the reaction order.   Typically,</w:t>
      </w:r>
    </w:p>
    <w:p w14:paraId="65C2B0C3" w14:textId="77777777" w:rsidR="00A471FF" w:rsidRDefault="00F27CB1" w:rsidP="00A471FF">
      <w:pPr>
        <w:pStyle w:val="ListParagraph"/>
        <w:numPr>
          <w:ilvl w:val="2"/>
          <w:numId w:val="2"/>
        </w:numPr>
      </w:pPr>
      <w:r>
        <w:lastRenderedPageBreak/>
        <w:t>n=0, v=</w:t>
      </w:r>
      <w:proofErr w:type="spellStart"/>
      <w:r>
        <w:t>1E</w:t>
      </w:r>
      <w:proofErr w:type="spellEnd"/>
      <w:r>
        <w:t xml:space="preserve"> 28</w:t>
      </w:r>
    </w:p>
    <w:p w14:paraId="7904230B" w14:textId="77777777" w:rsidR="00F27CB1" w:rsidRDefault="00F27CB1" w:rsidP="00A471FF">
      <w:pPr>
        <w:pStyle w:val="ListParagraph"/>
        <w:numPr>
          <w:ilvl w:val="2"/>
          <w:numId w:val="2"/>
        </w:numPr>
      </w:pPr>
      <w:r>
        <w:t>n=1/2 v=</w:t>
      </w:r>
      <w:proofErr w:type="spellStart"/>
      <w:r>
        <w:t>3.2E20</w:t>
      </w:r>
      <w:proofErr w:type="spellEnd"/>
    </w:p>
    <w:p w14:paraId="2EC16704" w14:textId="77777777" w:rsidR="00A471FF" w:rsidRDefault="00A471FF" w:rsidP="00A471FF">
      <w:pPr>
        <w:pStyle w:val="ListParagraph"/>
        <w:numPr>
          <w:ilvl w:val="2"/>
          <w:numId w:val="2"/>
        </w:numPr>
      </w:pPr>
      <w:r>
        <w:t>n=1, v=</w:t>
      </w:r>
      <w:proofErr w:type="spellStart"/>
      <w:r>
        <w:t>1E</w:t>
      </w:r>
      <w:proofErr w:type="spellEnd"/>
      <w:r>
        <w:t xml:space="preserve"> 13</w:t>
      </w:r>
    </w:p>
    <w:p w14:paraId="4C99CE68" w14:textId="77777777" w:rsidR="00A471FF" w:rsidRDefault="00F27CB1" w:rsidP="00A471FF">
      <w:pPr>
        <w:pStyle w:val="ListParagraph"/>
        <w:numPr>
          <w:ilvl w:val="2"/>
          <w:numId w:val="2"/>
        </w:numPr>
      </w:pPr>
      <w:r>
        <w:t>n=2, v=</w:t>
      </w:r>
      <w:proofErr w:type="spellStart"/>
      <w:r>
        <w:t>1E</w:t>
      </w:r>
      <w:proofErr w:type="spellEnd"/>
      <w:r>
        <w:t xml:space="preserve"> –2</w:t>
      </w:r>
    </w:p>
    <w:p w14:paraId="43905056" w14:textId="77777777" w:rsidR="00A471FF" w:rsidRDefault="00A471FF" w:rsidP="00AD4821"/>
    <w:p w14:paraId="1266C3F1" w14:textId="77777777" w:rsidR="00AD4821" w:rsidRDefault="00B70B7B" w:rsidP="00AD4821">
      <w:r>
        <w:t xml:space="preserve">This simulation was </w:t>
      </w:r>
      <w:r w:rsidR="00AD4821">
        <w:t xml:space="preserve">modeled after the results of:  </w:t>
      </w:r>
      <w:r w:rsidR="00AD4821">
        <w:rPr>
          <w:noProof/>
        </w:rPr>
        <w:t xml:space="preserve">Redhead, P., </w:t>
      </w:r>
      <w:r w:rsidR="00AD4821" w:rsidRPr="00AD4821">
        <w:rPr>
          <w:i/>
          <w:noProof/>
        </w:rPr>
        <w:t>Thermal desorption of gases.</w:t>
      </w:r>
      <w:r w:rsidR="00AD4821">
        <w:rPr>
          <w:noProof/>
        </w:rPr>
        <w:t xml:space="preserve"> Vacuum, 1962. </w:t>
      </w:r>
      <w:r w:rsidR="00AD4821" w:rsidRPr="00AD4821">
        <w:rPr>
          <w:b/>
          <w:noProof/>
        </w:rPr>
        <w:t>12</w:t>
      </w:r>
      <w:r w:rsidR="00AD4821">
        <w:rPr>
          <w:noProof/>
        </w:rPr>
        <w:t>(4): p. 203-211.</w:t>
      </w:r>
      <w:r w:rsidR="00AD4821" w:rsidRPr="00AD4821">
        <w:t xml:space="preserve"> </w:t>
      </w:r>
      <w:r w:rsidR="007C5A5E">
        <w:fldChar w:fldCharType="begin"/>
      </w:r>
      <w:r w:rsidR="00AD4821">
        <w:instrText xml:space="preserve"> ADDIN EN.CITE &lt;EndNote&gt;&lt;Cite&gt;&lt;Author&gt;Redhead&lt;/Author&gt;&lt;Year&gt;1962&lt;/Year&gt;&lt;RecNum&gt;86&lt;/RecNum&gt;&lt;DisplayText&gt;[1]&lt;/DisplayText&gt;&lt;record&gt;&lt;rec-number&gt;86&lt;/rec-number&gt;&lt;foreign-keys&gt;&lt;key app="EN" db-id="zdxpt0w9padzpdepr9cpptft0d5t2tpwe5a5"&gt;86&lt;/key&gt;&lt;/foreign-keys&gt;&lt;ref-type name="Journal Article"&gt;17&lt;/ref-type&gt;&lt;contributors&gt;&lt;authors&gt;&lt;author&gt;Redhead, P.&lt;/author&gt;&lt;/authors&gt;&lt;/contributors&gt;&lt;titles&gt;&lt;title&gt;Thermal desorption of gases&lt;/title&gt;&lt;secondary-title&gt;Vacuum&lt;/secondary-title&gt;&lt;/titles&gt;&lt;periodical&gt;&lt;full-title&gt;Vacuum&lt;/full-title&gt;&lt;/periodical&gt;&lt;pages&gt;203-211&lt;/pages&gt;&lt;volume&gt;12&lt;/volume&gt;&lt;number&gt;4&lt;/number&gt;&lt;dates&gt;&lt;year&gt;1962&lt;/year&gt;&lt;/dates&gt;&lt;urls&gt;&lt;related-urls&gt;&lt;url&gt;http://linkinghub.elsevier.com/retrieve/pii/0042207X62909788&lt;/url&gt;&lt;url&gt;file:///C:/Users/Caitlin Danger Allen/Desktop/First Prop/Thermal desorption of gases.pdf&lt;/url&gt;&lt;/related-urls&gt;&lt;/urls&gt;&lt;electronic-resource-num&gt;10.1016/0042-207x(62)90978-8&lt;/electronic-resource-num&gt;&lt;/record&gt;&lt;/Cite&gt;&lt;/EndNote&gt;</w:instrText>
      </w:r>
      <w:r w:rsidR="007C5A5E">
        <w:fldChar w:fldCharType="separate"/>
      </w:r>
      <w:r w:rsidR="00AD4821">
        <w:rPr>
          <w:noProof/>
        </w:rPr>
        <w:t>[</w:t>
      </w:r>
      <w:hyperlink w:anchor="_ENREF_1" w:tooltip="Redhead, 1962 #86" w:history="1">
        <w:r w:rsidR="00D9128C">
          <w:rPr>
            <w:noProof/>
          </w:rPr>
          <w:t>1</w:t>
        </w:r>
      </w:hyperlink>
      <w:r w:rsidR="00AD4821">
        <w:rPr>
          <w:noProof/>
        </w:rPr>
        <w:t>]</w:t>
      </w:r>
      <w:r w:rsidR="007C5A5E">
        <w:fldChar w:fldCharType="end"/>
      </w:r>
    </w:p>
    <w:p w14:paraId="0B77C015" w14:textId="77777777" w:rsidR="00C447DA" w:rsidRDefault="00C447DA" w:rsidP="00AD4821"/>
    <w:p w14:paraId="0C109CB4" w14:textId="77777777" w:rsidR="00C447DA" w:rsidRDefault="00C447DA" w:rsidP="00AD4821"/>
    <w:p w14:paraId="74586C45" w14:textId="77777777" w:rsidR="00C447DA" w:rsidRDefault="00C447DA" w:rsidP="00AD4821"/>
    <w:p w14:paraId="7F3E8CD2" w14:textId="77777777" w:rsidR="00C447DA" w:rsidRDefault="00C447DA" w:rsidP="00AD4821"/>
    <w:p w14:paraId="1DAD5AF0" w14:textId="77777777" w:rsidR="00C447DA" w:rsidRDefault="00C447DA" w:rsidP="00AD4821"/>
    <w:p w14:paraId="1E866C67" w14:textId="77777777" w:rsidR="00AD4821" w:rsidRDefault="00AD4821" w:rsidP="00C447DA">
      <w:pPr>
        <w:pStyle w:val="Heading4"/>
      </w:pPr>
      <w:r>
        <w:t>Layer</w:t>
      </w:r>
    </w:p>
    <w:p w14:paraId="25F95C46" w14:textId="77777777" w:rsidR="00D9128C" w:rsidRDefault="00AD4821" w:rsidP="00D9128C">
      <w:pPr>
        <w:spacing w:after="200" w:line="276" w:lineRule="auto"/>
      </w:pPr>
      <w:r>
        <w:t>Models</w:t>
      </w:r>
      <w:r w:rsidR="00D96578">
        <w:t xml:space="preserve"> AES signals for</w:t>
      </w:r>
      <w:r>
        <w:t xml:space="preserve"> FM mode of film growth.  Equations adapted from:  Koel, B.E. et al., </w:t>
      </w:r>
      <w:r>
        <w:rPr>
          <w:i/>
        </w:rPr>
        <w:t xml:space="preserve">Growth mechanism and structure of ultrathin palladium films formed by deposition on </w:t>
      </w:r>
      <w:proofErr w:type="gramStart"/>
      <w:r>
        <w:rPr>
          <w:i/>
        </w:rPr>
        <w:t>Mo(</w:t>
      </w:r>
      <w:proofErr w:type="gramEnd"/>
      <w:r>
        <w:rPr>
          <w:i/>
        </w:rPr>
        <w:t xml:space="preserve">100), </w:t>
      </w:r>
      <w:r>
        <w:t xml:space="preserve"> Surf . Sci., 1992, </w:t>
      </w:r>
      <w:r w:rsidRPr="0014206C">
        <w:rPr>
          <w:b/>
        </w:rPr>
        <w:t>260</w:t>
      </w:r>
      <w:r>
        <w:t>: p. 151-162</w:t>
      </w:r>
      <w:r w:rsidR="00D9128C">
        <w:t xml:space="preserve"> [2] </w:t>
      </w:r>
    </w:p>
    <w:p w14:paraId="6A55AD63" w14:textId="77777777" w:rsidR="00C444EB" w:rsidRDefault="00D9128C" w:rsidP="00D9128C">
      <w:pPr>
        <w:spacing w:after="200" w:line="276" w:lineRule="auto"/>
        <w:jc w:val="center"/>
      </w:pPr>
      <w:r>
        <w:rPr>
          <w:noProof/>
          <w:lang w:bidi="ar-SA"/>
        </w:rPr>
        <w:drawing>
          <wp:inline distT="0" distB="0" distL="0" distR="0" wp14:anchorId="6DC61440" wp14:editId="6303D768">
            <wp:extent cx="4916471" cy="287079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61" cy="287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9A580" w14:textId="77777777" w:rsidR="00D9128C" w:rsidRPr="00A471FF" w:rsidRDefault="00DA752A" w:rsidP="00A471FF">
      <w:pPr>
        <w:jc w:val="center"/>
        <w:rPr>
          <w:b/>
          <w:sz w:val="18"/>
          <w:szCs w:val="18"/>
        </w:rPr>
      </w:pPr>
      <w:r w:rsidRPr="00A471FF">
        <w:rPr>
          <w:b/>
          <w:sz w:val="18"/>
          <w:szCs w:val="18"/>
        </w:rPr>
        <w:t>Figure 4</w:t>
      </w:r>
      <w:r w:rsidR="00D9128C" w:rsidRPr="00A471FF">
        <w:rPr>
          <w:b/>
          <w:sz w:val="18"/>
          <w:szCs w:val="18"/>
        </w:rPr>
        <w:t xml:space="preserve"> - Layer simulation</w:t>
      </w:r>
    </w:p>
    <w:p w14:paraId="657F06F9" w14:textId="77777777" w:rsidR="00C447DA" w:rsidRDefault="00C447DA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53B78D0" w14:textId="77777777" w:rsidR="00C444EB" w:rsidRDefault="00C444EB" w:rsidP="00C447DA">
      <w:pPr>
        <w:pStyle w:val="Heading4"/>
      </w:pPr>
      <w:r>
        <w:lastRenderedPageBreak/>
        <w:t>Langmuir</w:t>
      </w:r>
    </w:p>
    <w:p w14:paraId="6596B527" w14:textId="3C14A89B" w:rsidR="00C444EB" w:rsidRDefault="00C444EB" w:rsidP="00D9128C">
      <w:pPr>
        <w:jc w:val="both"/>
        <w:rPr>
          <w:noProof/>
        </w:rPr>
      </w:pPr>
      <w:r>
        <w:t>Models Langmuir isotherms. See p</w:t>
      </w:r>
      <w:r w:rsidR="004215FB">
        <w:t>.</w:t>
      </w:r>
      <w:r w:rsidR="00DB10E7">
        <w:t xml:space="preserve"> 192</w:t>
      </w:r>
      <w:r>
        <w:t xml:space="preserve"> of our text:  </w:t>
      </w:r>
      <w:r w:rsidR="004215FB">
        <w:rPr>
          <w:noProof/>
        </w:rPr>
        <w:t>Ko</w:t>
      </w:r>
      <w:r>
        <w:rPr>
          <w:noProof/>
        </w:rPr>
        <w:t xml:space="preserve">lasinski, K.W., </w:t>
      </w:r>
      <w:r w:rsidRPr="00C444EB">
        <w:rPr>
          <w:i/>
          <w:noProof/>
        </w:rPr>
        <w:t xml:space="preserve">Surface </w:t>
      </w:r>
      <w:r w:rsidR="00D9128C">
        <w:rPr>
          <w:i/>
          <w:noProof/>
        </w:rPr>
        <w:t xml:space="preserve">Science, </w:t>
      </w:r>
      <w:r w:rsidRPr="00C444EB">
        <w:rPr>
          <w:i/>
          <w:noProof/>
        </w:rPr>
        <w:t>Foundations of Catalysis and Nanoscience</w:t>
      </w:r>
      <w:r>
        <w:rPr>
          <w:noProof/>
        </w:rPr>
        <w:t xml:space="preserve">. </w:t>
      </w:r>
      <w:r w:rsidR="003736B9">
        <w:rPr>
          <w:noProof/>
        </w:rPr>
        <w:t>3r</w:t>
      </w:r>
      <w:r>
        <w:rPr>
          <w:noProof/>
        </w:rPr>
        <w:t>d ed. 20</w:t>
      </w:r>
      <w:r w:rsidR="003736B9">
        <w:rPr>
          <w:noProof/>
        </w:rPr>
        <w:t>12</w:t>
      </w:r>
      <w:r>
        <w:rPr>
          <w:noProof/>
        </w:rPr>
        <w:t>, The Atrium, Souther Gate, Chichester, West Sussex: John Wiley &amp; Sons, Ltd.</w:t>
      </w:r>
      <w:r w:rsidR="00D9128C">
        <w:rPr>
          <w:noProof/>
        </w:rPr>
        <w:t xml:space="preserve"> [3]</w:t>
      </w:r>
    </w:p>
    <w:p w14:paraId="61B08117" w14:textId="77777777" w:rsidR="00C447DA" w:rsidRDefault="00C447DA" w:rsidP="00D9128C">
      <w:pPr>
        <w:jc w:val="both"/>
        <w:rPr>
          <w:noProof/>
        </w:rPr>
      </w:pPr>
    </w:p>
    <w:p w14:paraId="4B554D16" w14:textId="77777777" w:rsidR="00C444EB" w:rsidRDefault="00D9128C" w:rsidP="00D9128C">
      <w:pPr>
        <w:spacing w:after="200" w:line="276" w:lineRule="auto"/>
        <w:jc w:val="center"/>
      </w:pPr>
      <w:r>
        <w:rPr>
          <w:noProof/>
          <w:lang w:bidi="ar-SA"/>
        </w:rPr>
        <w:drawing>
          <wp:inline distT="0" distB="0" distL="0" distR="0" wp14:anchorId="256B89DF" wp14:editId="299508BA">
            <wp:extent cx="4501569" cy="27219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07" cy="272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16E4" w14:textId="77777777" w:rsidR="00C444EB" w:rsidRPr="00A471FF" w:rsidRDefault="00D9128C" w:rsidP="00A471FF">
      <w:pPr>
        <w:jc w:val="center"/>
        <w:rPr>
          <w:b/>
          <w:sz w:val="18"/>
          <w:szCs w:val="18"/>
        </w:rPr>
      </w:pPr>
      <w:r w:rsidRPr="00A471FF">
        <w:rPr>
          <w:b/>
          <w:sz w:val="18"/>
          <w:szCs w:val="18"/>
        </w:rPr>
        <w:t xml:space="preserve">Figure </w:t>
      </w:r>
      <w:r w:rsidR="00DA752A" w:rsidRPr="00A471FF">
        <w:rPr>
          <w:b/>
          <w:sz w:val="18"/>
          <w:szCs w:val="18"/>
        </w:rPr>
        <w:t>5</w:t>
      </w:r>
      <w:r w:rsidRPr="00A471FF">
        <w:rPr>
          <w:b/>
          <w:sz w:val="18"/>
          <w:szCs w:val="18"/>
        </w:rPr>
        <w:t xml:space="preserve"> -Langmuir simulation</w:t>
      </w:r>
    </w:p>
    <w:p w14:paraId="6729F0C2" w14:textId="77777777" w:rsidR="00C444EB" w:rsidRDefault="00C444EB" w:rsidP="00C447DA">
      <w:pPr>
        <w:pStyle w:val="Heading4"/>
      </w:pPr>
      <w:r>
        <w:t>Sticking</w:t>
      </w:r>
    </w:p>
    <w:p w14:paraId="4F062AB4" w14:textId="747B5FBC" w:rsidR="00C444EB" w:rsidRDefault="00C444EB" w:rsidP="00C444EB">
      <w:pPr>
        <w:ind w:left="720" w:hanging="720"/>
        <w:rPr>
          <w:noProof/>
        </w:rPr>
      </w:pPr>
      <w:r>
        <w:t xml:space="preserve">Sticking coefficients for </w:t>
      </w:r>
      <w:proofErr w:type="spellStart"/>
      <w:r>
        <w:t>nondissociative</w:t>
      </w:r>
      <w:proofErr w:type="spellEnd"/>
      <w:r>
        <w:t xml:space="preserve"> precursor mediated adsorption</w:t>
      </w:r>
      <w:r w:rsidR="00D96578">
        <w:t xml:space="preserve">.  </w:t>
      </w:r>
      <w:r w:rsidR="004215FB">
        <w:t>See p.</w:t>
      </w:r>
      <w:r>
        <w:t xml:space="preserve"> 2</w:t>
      </w:r>
      <w:r w:rsidR="00264A7C">
        <w:t>07</w:t>
      </w:r>
      <w:r>
        <w:t xml:space="preserve"> of our text: </w:t>
      </w:r>
      <w:r w:rsidR="004215FB">
        <w:rPr>
          <w:noProof/>
        </w:rPr>
        <w:t xml:space="preserve">Kolasinski, K.W., </w:t>
      </w:r>
      <w:r w:rsidR="004215FB" w:rsidRPr="00C444EB">
        <w:rPr>
          <w:i/>
          <w:noProof/>
        </w:rPr>
        <w:t xml:space="preserve">Surface </w:t>
      </w:r>
      <w:r w:rsidR="004215FB">
        <w:rPr>
          <w:i/>
          <w:noProof/>
        </w:rPr>
        <w:t xml:space="preserve">Science, </w:t>
      </w:r>
      <w:r w:rsidR="004215FB" w:rsidRPr="00C444EB">
        <w:rPr>
          <w:i/>
          <w:noProof/>
        </w:rPr>
        <w:t>Foundations of Catalysis and Nanoscience</w:t>
      </w:r>
      <w:r w:rsidR="004215FB">
        <w:rPr>
          <w:noProof/>
        </w:rPr>
        <w:t>. 3rd ed. 2012, The Atrium, Souther Gate, Chichester, West Sussex: John Wiley &amp; Sons, Ltd. [3]</w:t>
      </w:r>
    </w:p>
    <w:p w14:paraId="3AA10845" w14:textId="77777777" w:rsidR="00C447DA" w:rsidRDefault="00C447DA" w:rsidP="00C444EB">
      <w:pPr>
        <w:ind w:left="720" w:hanging="720"/>
        <w:rPr>
          <w:noProof/>
        </w:rPr>
      </w:pPr>
    </w:p>
    <w:p w14:paraId="4EC7007A" w14:textId="77777777" w:rsidR="00C444EB" w:rsidRPr="00A471FF" w:rsidRDefault="00C444EB" w:rsidP="00A471FF">
      <w:pPr>
        <w:jc w:val="center"/>
        <w:rPr>
          <w:b/>
          <w:sz w:val="18"/>
          <w:szCs w:val="18"/>
        </w:rPr>
      </w:pPr>
      <w:r w:rsidRPr="00A471FF">
        <w:rPr>
          <w:b/>
          <w:noProof/>
          <w:sz w:val="18"/>
          <w:szCs w:val="18"/>
          <w:lang w:bidi="ar-SA"/>
        </w:rPr>
        <w:drawing>
          <wp:inline distT="0" distB="0" distL="0" distR="0" wp14:anchorId="557CA3CE" wp14:editId="29A506AE">
            <wp:extent cx="4719052" cy="2796363"/>
            <wp:effectExtent l="19050" t="0" r="534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42" cy="27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A381D" w14:textId="77777777" w:rsidR="00AD4821" w:rsidRPr="00A471FF" w:rsidRDefault="00D9128C" w:rsidP="00A471FF">
      <w:pPr>
        <w:jc w:val="center"/>
        <w:rPr>
          <w:b/>
          <w:sz w:val="18"/>
          <w:szCs w:val="18"/>
        </w:rPr>
      </w:pPr>
      <w:r w:rsidRPr="00A471FF">
        <w:rPr>
          <w:b/>
          <w:sz w:val="18"/>
          <w:szCs w:val="18"/>
        </w:rPr>
        <w:t xml:space="preserve">Figure </w:t>
      </w:r>
      <w:r w:rsidR="00DA752A" w:rsidRPr="00A471FF">
        <w:rPr>
          <w:b/>
          <w:sz w:val="18"/>
          <w:szCs w:val="18"/>
        </w:rPr>
        <w:t>6</w:t>
      </w:r>
      <w:r w:rsidRPr="00A471FF">
        <w:rPr>
          <w:b/>
          <w:sz w:val="18"/>
          <w:szCs w:val="18"/>
        </w:rPr>
        <w:t xml:space="preserve"> - </w:t>
      </w:r>
      <w:r w:rsidR="00A471FF">
        <w:rPr>
          <w:b/>
          <w:sz w:val="18"/>
          <w:szCs w:val="18"/>
        </w:rPr>
        <w:t>S</w:t>
      </w:r>
      <w:r w:rsidRPr="00A471FF">
        <w:rPr>
          <w:b/>
          <w:sz w:val="18"/>
          <w:szCs w:val="18"/>
        </w:rPr>
        <w:t>ticking simulation</w:t>
      </w:r>
    </w:p>
    <w:p w14:paraId="5CF78AAC" w14:textId="77777777" w:rsidR="00AD4821" w:rsidRDefault="00D9128C" w:rsidP="00C447DA">
      <w:pPr>
        <w:pStyle w:val="Heading1"/>
        <w:rPr>
          <w:noProof/>
        </w:rPr>
      </w:pPr>
      <w:bookmarkStart w:id="12" w:name="_Toc309815949"/>
      <w:bookmarkStart w:id="13" w:name="_Toc309824623"/>
      <w:r>
        <w:rPr>
          <w:noProof/>
        </w:rPr>
        <w:lastRenderedPageBreak/>
        <w:t>References</w:t>
      </w:r>
      <w:bookmarkEnd w:id="12"/>
      <w:bookmarkEnd w:id="13"/>
    </w:p>
    <w:p w14:paraId="1F8FD608" w14:textId="77777777" w:rsidR="00AD4821" w:rsidRDefault="00AD4821" w:rsidP="00B70B7B"/>
    <w:p w14:paraId="6C12B9CF" w14:textId="77777777" w:rsidR="00D9128C" w:rsidRDefault="007C5A5E" w:rsidP="00D9128C">
      <w:pPr>
        <w:ind w:left="720" w:hanging="720"/>
        <w:rPr>
          <w:noProof/>
        </w:rPr>
      </w:pPr>
      <w:r>
        <w:fldChar w:fldCharType="begin"/>
      </w:r>
      <w:r w:rsidR="00AD4821">
        <w:instrText xml:space="preserve"> ADDIN EN.REFLIST </w:instrText>
      </w:r>
      <w:r>
        <w:fldChar w:fldCharType="separate"/>
      </w:r>
      <w:bookmarkStart w:id="14" w:name="_ENREF_1"/>
      <w:r w:rsidR="00D9128C">
        <w:rPr>
          <w:noProof/>
        </w:rPr>
        <w:t>1.</w:t>
      </w:r>
      <w:r w:rsidR="00D9128C">
        <w:rPr>
          <w:noProof/>
        </w:rPr>
        <w:tab/>
        <w:t xml:space="preserve">Redhead, P., </w:t>
      </w:r>
      <w:r w:rsidR="00D9128C" w:rsidRPr="00D9128C">
        <w:rPr>
          <w:i/>
          <w:noProof/>
        </w:rPr>
        <w:t>Thermal desorption of gases.</w:t>
      </w:r>
      <w:r w:rsidR="00D9128C">
        <w:rPr>
          <w:noProof/>
        </w:rPr>
        <w:t xml:space="preserve"> Vacuum, 1962. </w:t>
      </w:r>
      <w:r w:rsidR="00D9128C" w:rsidRPr="00D9128C">
        <w:rPr>
          <w:b/>
          <w:noProof/>
        </w:rPr>
        <w:t>12</w:t>
      </w:r>
      <w:r w:rsidR="00D9128C">
        <w:rPr>
          <w:noProof/>
        </w:rPr>
        <w:t>(4): p. 203-211.</w:t>
      </w:r>
      <w:bookmarkEnd w:id="14"/>
    </w:p>
    <w:p w14:paraId="256F304A" w14:textId="77777777" w:rsidR="00D9128C" w:rsidRDefault="00D9128C" w:rsidP="00D9128C">
      <w:pPr>
        <w:rPr>
          <w:noProof/>
        </w:rPr>
      </w:pPr>
    </w:p>
    <w:p w14:paraId="359C448D" w14:textId="77777777" w:rsidR="0086113F" w:rsidRDefault="007C5A5E" w:rsidP="00DA752A">
      <w:pPr>
        <w:ind w:left="720" w:hanging="720"/>
      </w:pPr>
      <w:r>
        <w:fldChar w:fldCharType="end"/>
      </w:r>
      <w:r w:rsidR="00DA752A">
        <w:t>2.</w:t>
      </w:r>
      <w:r w:rsidR="00DA752A">
        <w:tab/>
      </w:r>
      <w:r w:rsidR="00DA752A" w:rsidRPr="00DA752A">
        <w:t xml:space="preserve"> </w:t>
      </w:r>
      <w:r w:rsidR="00DA752A">
        <w:t xml:space="preserve">Koel, B.E. et al., </w:t>
      </w:r>
      <w:r w:rsidR="00DA752A">
        <w:rPr>
          <w:i/>
        </w:rPr>
        <w:t xml:space="preserve">Growth mechanism and structure of ultrathin palladium films formed by deposition on </w:t>
      </w:r>
      <w:proofErr w:type="gramStart"/>
      <w:r w:rsidR="00DA752A">
        <w:rPr>
          <w:i/>
        </w:rPr>
        <w:t>Mo(</w:t>
      </w:r>
      <w:proofErr w:type="gramEnd"/>
      <w:r w:rsidR="00DA752A">
        <w:rPr>
          <w:i/>
        </w:rPr>
        <w:t xml:space="preserve">100), </w:t>
      </w:r>
      <w:r w:rsidR="00DA752A">
        <w:t xml:space="preserve"> Surf . Sci., 1992, </w:t>
      </w:r>
      <w:r w:rsidR="00DA752A" w:rsidRPr="0014206C">
        <w:rPr>
          <w:b/>
        </w:rPr>
        <w:t>260</w:t>
      </w:r>
      <w:r w:rsidR="00DA752A">
        <w:t xml:space="preserve">: p. 151-162 </w:t>
      </w:r>
    </w:p>
    <w:p w14:paraId="46FE9B81" w14:textId="77777777" w:rsidR="00DA752A" w:rsidRDefault="00DA752A" w:rsidP="00DA752A">
      <w:pPr>
        <w:ind w:left="720" w:hanging="720"/>
      </w:pPr>
    </w:p>
    <w:p w14:paraId="30A08C3D" w14:textId="16D8AA4E" w:rsidR="00DA752A" w:rsidRDefault="00DA752A" w:rsidP="00DA752A">
      <w:pPr>
        <w:ind w:left="720" w:hanging="720"/>
      </w:pPr>
      <w:r>
        <w:t>3</w:t>
      </w:r>
      <w:r>
        <w:tab/>
        <w:t xml:space="preserve"> </w:t>
      </w:r>
      <w:r w:rsidR="004215FB">
        <w:rPr>
          <w:noProof/>
        </w:rPr>
        <w:t>Ko</w:t>
      </w:r>
      <w:bookmarkStart w:id="15" w:name="_GoBack"/>
      <w:bookmarkEnd w:id="15"/>
      <w:r>
        <w:rPr>
          <w:noProof/>
        </w:rPr>
        <w:t xml:space="preserve">lasinski, K.W., </w:t>
      </w:r>
      <w:r w:rsidRPr="00C444EB">
        <w:rPr>
          <w:i/>
          <w:noProof/>
        </w:rPr>
        <w:t>Surface Science, Foundations of Catalysis and Nanoscience</w:t>
      </w:r>
      <w:r>
        <w:rPr>
          <w:noProof/>
        </w:rPr>
        <w:t xml:space="preserve">. </w:t>
      </w:r>
      <w:r w:rsidR="003736B9">
        <w:rPr>
          <w:noProof/>
        </w:rPr>
        <w:t>3r</w:t>
      </w:r>
      <w:r>
        <w:rPr>
          <w:noProof/>
        </w:rPr>
        <w:t>d ed. 20</w:t>
      </w:r>
      <w:r w:rsidR="003736B9">
        <w:rPr>
          <w:noProof/>
        </w:rPr>
        <w:t>12</w:t>
      </w:r>
      <w:r>
        <w:rPr>
          <w:noProof/>
        </w:rPr>
        <w:t>, The Atrium, Souther Gate, Chichester, West Sussex: John Wiley &amp; Sons, Ltd.</w:t>
      </w:r>
    </w:p>
    <w:sectPr w:rsidR="00DA752A" w:rsidSect="004E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71115"/>
    <w:multiLevelType w:val="hybridMultilevel"/>
    <w:tmpl w:val="F8C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41F68"/>
    <w:multiLevelType w:val="hybridMultilevel"/>
    <w:tmpl w:val="1A04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dxpt0w9padzpdepr9cpptft0d5t2tpwe5a5&quot;&gt;First Prop&lt;record-ids&gt;&lt;item&gt;86&lt;/item&gt;&lt;/record-ids&gt;&lt;/item&gt;&lt;/Libraries&gt;"/>
  </w:docVars>
  <w:rsids>
    <w:rsidRoot w:val="003E622A"/>
    <w:rsid w:val="00041B42"/>
    <w:rsid w:val="000474BD"/>
    <w:rsid w:val="000E37BA"/>
    <w:rsid w:val="000F1054"/>
    <w:rsid w:val="0014206C"/>
    <w:rsid w:val="001B4B18"/>
    <w:rsid w:val="001D2799"/>
    <w:rsid w:val="00246D84"/>
    <w:rsid w:val="00250BA2"/>
    <w:rsid w:val="00264A7C"/>
    <w:rsid w:val="003736B9"/>
    <w:rsid w:val="003E3615"/>
    <w:rsid w:val="003E622A"/>
    <w:rsid w:val="004215FB"/>
    <w:rsid w:val="0044599F"/>
    <w:rsid w:val="00464A03"/>
    <w:rsid w:val="004E37D1"/>
    <w:rsid w:val="00656B6B"/>
    <w:rsid w:val="006C2549"/>
    <w:rsid w:val="00791AC8"/>
    <w:rsid w:val="007C5A5E"/>
    <w:rsid w:val="007D7385"/>
    <w:rsid w:val="00800A37"/>
    <w:rsid w:val="008013F4"/>
    <w:rsid w:val="0086113F"/>
    <w:rsid w:val="008C594D"/>
    <w:rsid w:val="008D2A39"/>
    <w:rsid w:val="00901B71"/>
    <w:rsid w:val="009202C0"/>
    <w:rsid w:val="00A25DD4"/>
    <w:rsid w:val="00A471FF"/>
    <w:rsid w:val="00A63DD5"/>
    <w:rsid w:val="00AA3300"/>
    <w:rsid w:val="00AD4821"/>
    <w:rsid w:val="00B70B7B"/>
    <w:rsid w:val="00B821FA"/>
    <w:rsid w:val="00B93910"/>
    <w:rsid w:val="00BD0559"/>
    <w:rsid w:val="00BD34D2"/>
    <w:rsid w:val="00C01203"/>
    <w:rsid w:val="00C444EB"/>
    <w:rsid w:val="00C447DA"/>
    <w:rsid w:val="00D11979"/>
    <w:rsid w:val="00D16038"/>
    <w:rsid w:val="00D9128C"/>
    <w:rsid w:val="00D96578"/>
    <w:rsid w:val="00DA752A"/>
    <w:rsid w:val="00DB10E7"/>
    <w:rsid w:val="00E04535"/>
    <w:rsid w:val="00E40F5A"/>
    <w:rsid w:val="00E44931"/>
    <w:rsid w:val="00E92917"/>
    <w:rsid w:val="00EB33DF"/>
    <w:rsid w:val="00F27CB1"/>
    <w:rsid w:val="00FB3522"/>
    <w:rsid w:val="00F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4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22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2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22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22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2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62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622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22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22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22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2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62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22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622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E622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E622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622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22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22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22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E622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622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22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E622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622A"/>
    <w:rPr>
      <w:b/>
      <w:bCs/>
    </w:rPr>
  </w:style>
  <w:style w:type="character" w:styleId="Emphasis">
    <w:name w:val="Emphasis"/>
    <w:basedOn w:val="DefaultParagraphFont"/>
    <w:uiPriority w:val="20"/>
    <w:qFormat/>
    <w:rsid w:val="003E622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622A"/>
    <w:rPr>
      <w:szCs w:val="32"/>
    </w:rPr>
  </w:style>
  <w:style w:type="paragraph" w:styleId="ListParagraph">
    <w:name w:val="List Paragraph"/>
    <w:basedOn w:val="Normal"/>
    <w:uiPriority w:val="34"/>
    <w:qFormat/>
    <w:rsid w:val="003E62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622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622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22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22A"/>
    <w:rPr>
      <w:b/>
      <w:i/>
      <w:sz w:val="24"/>
    </w:rPr>
  </w:style>
  <w:style w:type="character" w:styleId="SubtleEmphasis">
    <w:name w:val="Subtle Emphasis"/>
    <w:uiPriority w:val="19"/>
    <w:qFormat/>
    <w:rsid w:val="003E622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622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622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622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622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22A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9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47D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447D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447DA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D34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inceton.edu/software/licenses/software/matlab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849</Words>
  <Characters>4845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Danger Allen</dc:creator>
  <cp:lastModifiedBy>Bruce Koel</cp:lastModifiedBy>
  <cp:revision>3</cp:revision>
  <cp:lastPrinted>2011-11-09T06:51:00Z</cp:lastPrinted>
  <dcterms:created xsi:type="dcterms:W3CDTF">2017-11-20T19:50:00Z</dcterms:created>
  <dcterms:modified xsi:type="dcterms:W3CDTF">2017-11-20T21:20:00Z</dcterms:modified>
</cp:coreProperties>
</file>