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InsurMinds - I2A2</w:t>
        <w:br/>
        <w:t>Atividade Obrigatória 2</w:t>
      </w:r>
    </w:p>
    <w:p>
      <w:pPr>
        <w:jc w:val="center"/>
      </w:pPr>
      <w:r>
        <w:rPr>
          <w:b/>
          <w:color w:val="006666"/>
          <w:sz w:val="52"/>
        </w:rPr>
        <w:br/>
        <w:t>SegurAI Assistente</w:t>
        <w:br/>
      </w:r>
    </w:p>
    <w:p>
      <w:pPr>
        <w:jc w:val="center"/>
      </w:pPr>
      <w:r>
        <w:rPr>
          <w:b/>
          <w:sz w:val="30"/>
        </w:rPr>
        <w:t>Chatbot de Atendimento para Segurados com IA Generativa e RAG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912"/>
            <w:shd w:fill="1F4E79"/>
          </w:tcPr>
          <w:p>
            <w:r>
              <w:rPr>
                <w:b/>
                <w:color w:val="FFFFFF"/>
              </w:rPr>
              <w:t>Informação</w:t>
            </w:r>
          </w:p>
        </w:tc>
      </w:tr>
      <w:tr>
        <w:tc>
          <w:tcPr>
            <w:tcW w:type="dxa" w:w="2880"/>
            <w:vAlign w:val="top"/>
          </w:tcPr>
          <w:p>
            <w:r>
              <w:t>Nome do grupo</w:t>
            </w:r>
          </w:p>
        </w:tc>
        <w:tc>
          <w:tcPr>
            <w:tcW w:type="dxa" w:w="6912"/>
            <w:vAlign w:val="top"/>
          </w:tcPr>
          <w:p>
            <w:r>
              <w:t>InsurTech Minds</w:t>
            </w:r>
          </w:p>
        </w:tc>
      </w:tr>
      <w:tr>
        <w:tc>
          <w:tcPr>
            <w:tcW w:type="dxa" w:w="2880"/>
            <w:vAlign w:val="top"/>
          </w:tcPr>
          <w:p>
            <w:r>
              <w:t>Nome da solução</w:t>
            </w:r>
          </w:p>
        </w:tc>
        <w:tc>
          <w:tcPr>
            <w:tcW w:type="dxa" w:w="6912"/>
            <w:vAlign w:val="top"/>
          </w:tcPr>
          <w:p>
            <w:r>
              <w:t>SegurAI Assistente</w:t>
            </w:r>
          </w:p>
        </w:tc>
      </w:tr>
      <w:tr>
        <w:tc>
          <w:tcPr>
            <w:tcW w:type="dxa" w:w="2880"/>
            <w:vAlign w:val="top"/>
          </w:tcPr>
          <w:p>
            <w:r>
              <w:t>Tipo de solução</w:t>
            </w:r>
          </w:p>
        </w:tc>
        <w:tc>
          <w:tcPr>
            <w:tcW w:type="dxa" w:w="6912"/>
            <w:vAlign w:val="top"/>
          </w:tcPr>
          <w:p>
            <w:r>
              <w:t>Chatbot/assistente virtual baseado em IA Generativa e RAG</w:t>
            </w:r>
          </w:p>
        </w:tc>
      </w:tr>
      <w:tr>
        <w:tc>
          <w:tcPr>
            <w:tcW w:type="dxa" w:w="2880"/>
            <w:vAlign w:val="top"/>
          </w:tcPr>
          <w:p>
            <w:r>
              <w:t>Setor de aplicação</w:t>
            </w:r>
          </w:p>
        </w:tc>
        <w:tc>
          <w:tcPr>
            <w:tcW w:type="dxa" w:w="6912"/>
            <w:vAlign w:val="top"/>
          </w:tcPr>
          <w:p>
            <w:r>
              <w:t>Seguros - atendimento ao segurado</w:t>
            </w:r>
          </w:p>
        </w:tc>
      </w:tr>
      <w:tr>
        <w:tc>
          <w:tcPr>
            <w:tcW w:type="dxa" w:w="2880"/>
            <w:vAlign w:val="top"/>
          </w:tcPr>
          <w:p>
            <w:r>
              <w:t>Representante</w:t>
            </w:r>
          </w:p>
        </w:tc>
        <w:tc>
          <w:tcPr>
            <w:tcW w:type="dxa" w:w="6912"/>
            <w:vAlign w:val="top"/>
          </w:tcPr>
          <w:p>
            <w:r>
              <w:t>[Preencher nome, e-mail e celular]</w:t>
            </w:r>
          </w:p>
        </w:tc>
      </w:tr>
      <w:tr>
        <w:tc>
          <w:tcPr>
            <w:tcW w:type="dxa" w:w="2880"/>
            <w:vAlign w:val="top"/>
          </w:tcPr>
          <w:p>
            <w:r>
              <w:t>Integrantes</w:t>
            </w:r>
          </w:p>
        </w:tc>
        <w:tc>
          <w:tcPr>
            <w:tcW w:type="dxa" w:w="6912"/>
            <w:vAlign w:val="top"/>
          </w:tcPr>
          <w:p>
            <w:r>
              <w:t>[Preencher nomes, e-mails e celulares]</w:t>
            </w:r>
          </w:p>
        </w:tc>
      </w:tr>
    </w:tbl>
    <w:p>
      <w:r>
        <w:br w:type="page"/>
      </w:r>
    </w:p>
    <w:p>
      <w:pPr>
        <w:pStyle w:val="Heading1"/>
      </w:pPr>
      <w:r>
        <w:t>1. Introdução</w:t>
      </w:r>
    </w:p>
    <w:p>
      <w:r>
        <w:t>O presente projeto propõe o desenvolvimento do SegurAI Assistente, um chatbot de atendimento inicial para segurados, utilizando Inteligência Artificial Generativa e a técnica RAG - Retrieval-Augmented Generation. A solução tem como objetivo automatizar respostas a perguntas frequentes, orientar segurados em situações comuns e direcionar casos complexos para atendimento humano.</w:t>
      </w:r>
    </w:p>
    <w:p>
      <w:pPr>
        <w:pStyle w:val="Heading1"/>
      </w:pPr>
      <w:r>
        <w:t>2. Problema identificado</w:t>
      </w:r>
    </w:p>
    <w:p>
      <w:r>
        <w:t>O atendimento ao segurado frequentemente envolve dúvidas repetitivas sobre apólices, coberturas, sinistros, pagamentos, cancelamentos e assistência emergencial. Esse cenário pode gerar sobrecarga nas equipes humanas, demora nas respostas e inconsistência na comunicação. O desafio é criar uma solução que ofereça orientação inicial rápida e padronizada, sem substituir a análise oficial da seguradora.</w:t>
      </w:r>
    </w:p>
    <w:p>
      <w:pPr>
        <w:pStyle w:val="Heading1"/>
      </w:pPr>
      <w:r>
        <w:t>3. Objetivo da solução</w:t>
      </w:r>
    </w:p>
    <w:p>
      <w:r>
        <w:t>Desenvolver um assistente virtual capaz de responder dúvidas frequentes de forma clara, segura e fundamentada em uma base de conhecimento organizada. O chatbot deve apoiar o segurado em consultas simples e indicar atendimento humano em casos complexos, emergenciais ou que envolvam dados pessoais e análise contratual individualizada.</w:t>
      </w:r>
    </w:p>
    <w:p>
      <w:pPr>
        <w:pStyle w:val="Heading1"/>
      </w:pPr>
      <w:r>
        <w:t>4. Escopo do MVP</w:t>
      </w:r>
    </w:p>
    <w:p>
      <w:r>
        <w:t>O MVP foi definido para atender dúvidas gerais de Seguro Auto e Seguro Residencial. O sistema cobre temas como apólice, prêmio, franquia, sinistro, cobertura, pagamento, assistência 24h, cancelamento, endosso e encaminhamento para atendimento humano. Nesta versão, o chatbot não acessa dados reais de clientes, não consulta apólices individuais e não realiza transações.</w:t>
      </w:r>
    </w:p>
    <w:p>
      <w:pPr>
        <w:pStyle w:val="Heading1"/>
      </w:pPr>
      <w:r>
        <w:t>5. Arquitetura da solução</w:t>
      </w:r>
    </w:p>
    <w:p>
      <w:r>
        <w:t>A arquitetura proposta utiliza uma interface web simples em Streamlit. A pergunta do usuário é recebida pela aplicação, enviada para um pipeline RAG, comparada semanticamente com os documentos da base de conhecimento, enriquecida com os trechos recuperados e encaminhada para uma LLM gerar a resposta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1F4E79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7200"/>
            <w:shd w:fill="1F4E79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2592"/>
            <w:vAlign w:val="top"/>
          </w:tcPr>
          <w:p>
            <w:r>
              <w:t>Usuário/Segurado</w:t>
            </w:r>
          </w:p>
        </w:tc>
        <w:tc>
          <w:tcPr>
            <w:tcW w:type="dxa" w:w="7200"/>
            <w:vAlign w:val="top"/>
          </w:tcPr>
          <w:p>
            <w:r>
              <w:t>Realiza perguntas sobre seguro, sinistro, cobertura, pagamento ou assistência.</w:t>
            </w:r>
          </w:p>
        </w:tc>
      </w:tr>
      <w:tr>
        <w:tc>
          <w:tcPr>
            <w:tcW w:type="dxa" w:w="2592"/>
            <w:vAlign w:val="top"/>
          </w:tcPr>
          <w:p>
            <w:r>
              <w:t>Interface Streamlit</w:t>
            </w:r>
          </w:p>
        </w:tc>
        <w:tc>
          <w:tcPr>
            <w:tcW w:type="dxa" w:w="7200"/>
            <w:vAlign w:val="top"/>
          </w:tcPr>
          <w:p>
            <w:r>
              <w:t>Apresenta tela de conversa, exemplos de perguntas e resposta gerada.</w:t>
            </w:r>
          </w:p>
        </w:tc>
      </w:tr>
      <w:tr>
        <w:tc>
          <w:tcPr>
            <w:tcW w:type="dxa" w:w="2592"/>
            <w:vAlign w:val="top"/>
          </w:tcPr>
          <w:p>
            <w:r>
              <w:t>RAG/Retriever</w:t>
            </w:r>
          </w:p>
        </w:tc>
        <w:tc>
          <w:tcPr>
            <w:tcW w:type="dxa" w:w="7200"/>
            <w:vAlign w:val="top"/>
          </w:tcPr>
          <w:p>
            <w:r>
              <w:t>Busca trechos relevantes na base de conhecimento.</w:t>
            </w:r>
          </w:p>
        </w:tc>
      </w:tr>
      <w:tr>
        <w:tc>
          <w:tcPr>
            <w:tcW w:type="dxa" w:w="2592"/>
            <w:vAlign w:val="top"/>
          </w:tcPr>
          <w:p>
            <w:r>
              <w:t>Banco vetorial ChromaDB</w:t>
            </w:r>
          </w:p>
        </w:tc>
        <w:tc>
          <w:tcPr>
            <w:tcW w:type="dxa" w:w="7200"/>
            <w:vAlign w:val="top"/>
          </w:tcPr>
          <w:p>
            <w:r>
              <w:t>Armazena embeddings dos documentos e permite busca por similaridade.</w:t>
            </w:r>
          </w:p>
        </w:tc>
      </w:tr>
      <w:tr>
        <w:tc>
          <w:tcPr>
            <w:tcW w:type="dxa" w:w="2592"/>
            <w:vAlign w:val="top"/>
          </w:tcPr>
          <w:p>
            <w:r>
              <w:t>LLM</w:t>
            </w:r>
          </w:p>
        </w:tc>
        <w:tc>
          <w:tcPr>
            <w:tcW w:type="dxa" w:w="7200"/>
            <w:vAlign w:val="top"/>
          </w:tcPr>
          <w:p>
            <w:r>
              <w:t>Gera a resposta com base na pergunta e nos documentos recuperados.</w:t>
            </w:r>
          </w:p>
        </w:tc>
      </w:tr>
      <w:tr>
        <w:tc>
          <w:tcPr>
            <w:tcW w:type="dxa" w:w="2592"/>
            <w:vAlign w:val="top"/>
          </w:tcPr>
          <w:p>
            <w:r>
              <w:t>Atendimento humano</w:t>
            </w:r>
          </w:p>
        </w:tc>
        <w:tc>
          <w:tcPr>
            <w:tcW w:type="dxa" w:w="7200"/>
            <w:vAlign w:val="top"/>
          </w:tcPr>
          <w:p>
            <w:r>
              <w:t>Recomendado para casos urgentes, complexos ou personalizados.</w:t>
            </w:r>
          </w:p>
        </w:tc>
      </w:tr>
    </w:tbl>
    <w:p>
      <w:pPr>
        <w:pStyle w:val="Heading1"/>
      </w:pPr>
      <w:r>
        <w:t>6. Fluxo conversacional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shd w:fill="1F4E79"/>
          </w:tcPr>
          <w:p>
            <w:r>
              <w:rPr>
                <w:b/>
                <w:color w:val="FFFFFF"/>
              </w:rPr>
              <w:t>Fluxo</w:t>
            </w:r>
          </w:p>
        </w:tc>
        <w:tc>
          <w:tcPr>
            <w:tcW w:type="dxa" w:w="3168"/>
            <w:shd w:fill="1F4E79"/>
          </w:tcPr>
          <w:p>
            <w:r>
              <w:rPr>
                <w:b/>
                <w:color w:val="FFFFFF"/>
              </w:rPr>
              <w:t>Exemplo de pergunta</w:t>
            </w:r>
          </w:p>
        </w:tc>
        <w:tc>
          <w:tcPr>
            <w:tcW w:type="dxa" w:w="4608"/>
            <w:shd w:fill="1F4E79"/>
          </w:tcPr>
          <w:p>
            <w:r>
              <w:rPr>
                <w:b/>
                <w:color w:val="FFFFFF"/>
              </w:rPr>
              <w:t>Comportamento esperado</w:t>
            </w:r>
          </w:p>
        </w:tc>
      </w:tr>
      <w:tr>
        <w:tc>
          <w:tcPr>
            <w:tcW w:type="dxa" w:w="1872"/>
            <w:vAlign w:val="top"/>
          </w:tcPr>
          <w:p>
            <w:r>
              <w:t>Sinistro</w:t>
            </w:r>
          </w:p>
        </w:tc>
        <w:tc>
          <w:tcPr>
            <w:tcW w:type="dxa" w:w="3168"/>
            <w:vAlign w:val="top"/>
          </w:tcPr>
          <w:p>
            <w:r>
              <w:t>Meu carro foi roubado, o que devo fazer?</w:t>
            </w:r>
          </w:p>
        </w:tc>
        <w:tc>
          <w:tcPr>
            <w:tcW w:type="dxa" w:w="4608"/>
            <w:vAlign w:val="top"/>
          </w:tcPr>
          <w:p>
            <w:r>
              <w:t>Orientar registro, documentação, comunicação à seguradora e atendimento humano se necessário.</w:t>
            </w:r>
          </w:p>
        </w:tc>
      </w:tr>
      <w:tr>
        <w:tc>
          <w:tcPr>
            <w:tcW w:type="dxa" w:w="1872"/>
            <w:vAlign w:val="top"/>
          </w:tcPr>
          <w:p>
            <w:r>
              <w:t>Cobertura</w:t>
            </w:r>
          </w:p>
        </w:tc>
        <w:tc>
          <w:tcPr>
            <w:tcW w:type="dxa" w:w="3168"/>
            <w:vAlign w:val="top"/>
          </w:tcPr>
          <w:p>
            <w:r>
              <w:t>O seguro cobre colisão?</w:t>
            </w:r>
          </w:p>
        </w:tc>
        <w:tc>
          <w:tcPr>
            <w:tcW w:type="dxa" w:w="4608"/>
            <w:vAlign w:val="top"/>
          </w:tcPr>
          <w:p>
            <w:r>
              <w:t>Explicar que depende da cobertura contratada e recomendar conferência da apólice.</w:t>
            </w:r>
          </w:p>
        </w:tc>
      </w:tr>
      <w:tr>
        <w:tc>
          <w:tcPr>
            <w:tcW w:type="dxa" w:w="1872"/>
            <w:vAlign w:val="top"/>
          </w:tcPr>
          <w:p>
            <w:r>
              <w:t>Pagamento</w:t>
            </w:r>
          </w:p>
        </w:tc>
        <w:tc>
          <w:tcPr>
            <w:tcW w:type="dxa" w:w="3168"/>
            <w:vAlign w:val="top"/>
          </w:tcPr>
          <w:p>
            <w:r>
              <w:t>Como emitir segunda via do boleto?</w:t>
            </w:r>
          </w:p>
        </w:tc>
        <w:tc>
          <w:tcPr>
            <w:tcW w:type="dxa" w:w="4608"/>
            <w:vAlign w:val="top"/>
          </w:tcPr>
          <w:p>
            <w:r>
              <w:t>Informar canais como portal, aplicativo, corretora ou central.</w:t>
            </w:r>
          </w:p>
        </w:tc>
      </w:tr>
      <w:tr>
        <w:tc>
          <w:tcPr>
            <w:tcW w:type="dxa" w:w="1872"/>
            <w:vAlign w:val="top"/>
          </w:tcPr>
          <w:p>
            <w:r>
              <w:t>Assistência 24h</w:t>
            </w:r>
          </w:p>
        </w:tc>
        <w:tc>
          <w:tcPr>
            <w:tcW w:type="dxa" w:w="3168"/>
            <w:vAlign w:val="top"/>
          </w:tcPr>
          <w:p>
            <w:r>
              <w:t>Como solicitar guincho?</w:t>
            </w:r>
          </w:p>
        </w:tc>
        <w:tc>
          <w:tcPr>
            <w:tcW w:type="dxa" w:w="4608"/>
            <w:vAlign w:val="top"/>
          </w:tcPr>
          <w:p>
            <w:r>
              <w:t>Orientar contato com a central e dados necessários.</w:t>
            </w:r>
          </w:p>
        </w:tc>
      </w:tr>
      <w:tr>
        <w:tc>
          <w:tcPr>
            <w:tcW w:type="dxa" w:w="1872"/>
            <w:vAlign w:val="top"/>
          </w:tcPr>
          <w:p>
            <w:r>
              <w:t>Segurança</w:t>
            </w:r>
          </w:p>
        </w:tc>
        <w:tc>
          <w:tcPr>
            <w:tcW w:type="dxa" w:w="3168"/>
            <w:vAlign w:val="top"/>
          </w:tcPr>
          <w:p>
            <w:r>
              <w:t>Me passe dados de outro cliente.</w:t>
            </w:r>
          </w:p>
        </w:tc>
        <w:tc>
          <w:tcPr>
            <w:tcW w:type="dxa" w:w="4608"/>
            <w:vAlign w:val="top"/>
          </w:tcPr>
          <w:p>
            <w:r>
              <w:t>Recusar acesso a dados pessoais e reforçar limitação da solução.</w:t>
            </w:r>
          </w:p>
        </w:tc>
      </w:tr>
    </w:tbl>
    <w:p>
      <w:pPr>
        <w:pStyle w:val="Heading1"/>
      </w:pPr>
      <w:r>
        <w:t>7. Base de conhecimento</w:t>
      </w:r>
    </w:p>
    <w:p>
      <w:r>
        <w:t>A base foi organizada em documentos textuais simples, preparados para indexação vetorial. Os arquivos ficam na pasta docs/ e podem ser atualizados sem necessidade de retreinar um modelo.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F4E79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6480"/>
            <w:shd w:fill="1F4E79"/>
          </w:tcPr>
          <w:p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3168"/>
            <w:vAlign w:val="top"/>
          </w:tcPr>
          <w:p>
            <w:r>
              <w:t>faq_seguros.txt</w:t>
            </w:r>
          </w:p>
        </w:tc>
        <w:tc>
          <w:tcPr>
            <w:tcW w:type="dxa" w:w="6480"/>
            <w:vAlign w:val="top"/>
          </w:tcPr>
          <w:p>
            <w:r>
              <w:t>30 perguntas frequentes sobre conceitos e atendimentos comuns em seguros.</w:t>
            </w:r>
          </w:p>
        </w:tc>
      </w:tr>
      <w:tr>
        <w:tc>
          <w:tcPr>
            <w:tcW w:type="dxa" w:w="3168"/>
            <w:vAlign w:val="top"/>
          </w:tcPr>
          <w:p>
            <w:r>
              <w:t>coberturas_auto.txt</w:t>
            </w:r>
          </w:p>
        </w:tc>
        <w:tc>
          <w:tcPr>
            <w:tcW w:type="dxa" w:w="6480"/>
            <w:vAlign w:val="top"/>
          </w:tcPr>
          <w:p>
            <w:r>
              <w:t>Resumo de coberturas usuais em seguro auto.</w:t>
            </w:r>
          </w:p>
        </w:tc>
      </w:tr>
      <w:tr>
        <w:tc>
          <w:tcPr>
            <w:tcW w:type="dxa" w:w="3168"/>
            <w:vAlign w:val="top"/>
          </w:tcPr>
          <w:p>
            <w:r>
              <w:t>coberturas_residencial.txt</w:t>
            </w:r>
          </w:p>
        </w:tc>
        <w:tc>
          <w:tcPr>
            <w:tcW w:type="dxa" w:w="6480"/>
            <w:vAlign w:val="top"/>
          </w:tcPr>
          <w:p>
            <w:r>
              <w:t>Resumo de coberturas usuais em seguro residencial.</w:t>
            </w:r>
          </w:p>
        </w:tc>
      </w:tr>
      <w:tr>
        <w:tc>
          <w:tcPr>
            <w:tcW w:type="dxa" w:w="3168"/>
            <w:vAlign w:val="top"/>
          </w:tcPr>
          <w:p>
            <w:r>
              <w:t>sinistro.txt</w:t>
            </w:r>
          </w:p>
        </w:tc>
        <w:tc>
          <w:tcPr>
            <w:tcW w:type="dxa" w:w="6480"/>
            <w:vAlign w:val="top"/>
          </w:tcPr>
          <w:p>
            <w:r>
              <w:t>Orientações gerais para abertura e acompanhamento de sinistro.</w:t>
            </w:r>
          </w:p>
        </w:tc>
      </w:tr>
      <w:tr>
        <w:tc>
          <w:tcPr>
            <w:tcW w:type="dxa" w:w="3168"/>
            <w:vAlign w:val="top"/>
          </w:tcPr>
          <w:p>
            <w:r>
              <w:t>pagamento_cancelamento.txt</w:t>
            </w:r>
          </w:p>
        </w:tc>
        <w:tc>
          <w:tcPr>
            <w:tcW w:type="dxa" w:w="6480"/>
            <w:vAlign w:val="top"/>
          </w:tcPr>
          <w:p>
            <w:r>
              <w:t>Informações sobre segunda via, atraso, cancelamento, endosso e renovação.</w:t>
            </w:r>
          </w:p>
        </w:tc>
      </w:tr>
      <w:tr>
        <w:tc>
          <w:tcPr>
            <w:tcW w:type="dxa" w:w="3168"/>
            <w:vAlign w:val="top"/>
          </w:tcPr>
          <w:p>
            <w:r>
              <w:t>glossario_seguros.txt</w:t>
            </w:r>
          </w:p>
        </w:tc>
        <w:tc>
          <w:tcPr>
            <w:tcW w:type="dxa" w:w="6480"/>
            <w:vAlign w:val="top"/>
          </w:tcPr>
          <w:p>
            <w:r>
              <w:t>Termos básicos do setor de seguros.</w:t>
            </w:r>
          </w:p>
        </w:tc>
      </w:tr>
    </w:tbl>
    <w:p>
      <w:pPr>
        <w:pStyle w:val="Heading1"/>
      </w:pPr>
      <w:r>
        <w:t>8.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1F4E79"/>
          </w:tcPr>
          <w:p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7200"/>
            <w:shd w:fill="1F4E79"/>
          </w:tcPr>
          <w:p>
            <w:r>
              <w:rPr>
                <w:b/>
                <w:color w:val="FFFFFF"/>
              </w:rPr>
              <w:t>Uso no projeto</w:t>
            </w:r>
          </w:p>
        </w:tc>
      </w:tr>
      <w:tr>
        <w:tc>
          <w:tcPr>
            <w:tcW w:type="dxa" w:w="2592"/>
            <w:vAlign w:val="top"/>
          </w:tcPr>
          <w:p>
            <w:r>
              <w:t>Python</w:t>
            </w:r>
          </w:p>
        </w:tc>
        <w:tc>
          <w:tcPr>
            <w:tcW w:type="dxa" w:w="7200"/>
            <w:vAlign w:val="top"/>
          </w:tcPr>
          <w:p>
            <w:r>
              <w:t>Linguagem principal da aplicação.</w:t>
            </w:r>
          </w:p>
        </w:tc>
      </w:tr>
      <w:tr>
        <w:tc>
          <w:tcPr>
            <w:tcW w:type="dxa" w:w="2592"/>
            <w:vAlign w:val="top"/>
          </w:tcPr>
          <w:p>
            <w:r>
              <w:t>Streamlit</w:t>
            </w:r>
          </w:p>
        </w:tc>
        <w:tc>
          <w:tcPr>
            <w:tcW w:type="dxa" w:w="7200"/>
            <w:vAlign w:val="top"/>
          </w:tcPr>
          <w:p>
            <w:r>
              <w:t>Interface web simples para demonstração do chatbot.</w:t>
            </w:r>
          </w:p>
        </w:tc>
      </w:tr>
      <w:tr>
        <w:tc>
          <w:tcPr>
            <w:tcW w:type="dxa" w:w="2592"/>
            <w:vAlign w:val="top"/>
          </w:tcPr>
          <w:p>
            <w:r>
              <w:t>LangChain</w:t>
            </w:r>
          </w:p>
        </w:tc>
        <w:tc>
          <w:tcPr>
            <w:tcW w:type="dxa" w:w="7200"/>
            <w:vAlign w:val="top"/>
          </w:tcPr>
          <w:p>
            <w:r>
              <w:t>Orquestração do pipeline RAG.</w:t>
            </w:r>
          </w:p>
        </w:tc>
      </w:tr>
      <w:tr>
        <w:tc>
          <w:tcPr>
            <w:tcW w:type="dxa" w:w="2592"/>
            <w:vAlign w:val="top"/>
          </w:tcPr>
          <w:p>
            <w:r>
              <w:t>ChromaDB</w:t>
            </w:r>
          </w:p>
        </w:tc>
        <w:tc>
          <w:tcPr>
            <w:tcW w:type="dxa" w:w="7200"/>
            <w:vAlign w:val="top"/>
          </w:tcPr>
          <w:p>
            <w:r>
              <w:t>Banco vetorial local para armazenamento de embeddings.</w:t>
            </w:r>
          </w:p>
        </w:tc>
      </w:tr>
      <w:tr>
        <w:tc>
          <w:tcPr>
            <w:tcW w:type="dxa" w:w="2592"/>
            <w:vAlign w:val="top"/>
          </w:tcPr>
          <w:p>
            <w:r>
              <w:t>OpenAI API</w:t>
            </w:r>
          </w:p>
        </w:tc>
        <w:tc>
          <w:tcPr>
            <w:tcW w:type="dxa" w:w="7200"/>
            <w:vAlign w:val="top"/>
          </w:tcPr>
          <w:p>
            <w:r>
              <w:t>Geração de embeddings e resposta por LLM.</w:t>
            </w:r>
          </w:p>
        </w:tc>
      </w:tr>
      <w:tr>
        <w:tc>
          <w:tcPr>
            <w:tcW w:type="dxa" w:w="2592"/>
            <w:vAlign w:val="top"/>
          </w:tcPr>
          <w:p>
            <w:r>
              <w:t>RAG</w:t>
            </w:r>
          </w:p>
        </w:tc>
        <w:tc>
          <w:tcPr>
            <w:tcW w:type="dxa" w:w="7200"/>
            <w:vAlign w:val="top"/>
          </w:tcPr>
          <w:p>
            <w:r>
              <w:t>Técnica para fundamentar respostas em documentos externos.</w:t>
            </w:r>
          </w:p>
        </w:tc>
      </w:tr>
    </w:tbl>
    <w:p>
      <w:pPr>
        <w:pStyle w:val="Heading1"/>
      </w:pPr>
      <w:r>
        <w:t>9. Divisão de tarefas do grupo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Membro</w:t>
            </w:r>
          </w:p>
        </w:tc>
        <w:tc>
          <w:tcPr>
            <w:tcW w:type="dxa" w:w="2592"/>
            <w:shd w:fill="1F4E79"/>
          </w:tcPr>
          <w:p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5328"/>
            <w:shd w:fill="1F4E79"/>
          </w:tcPr>
          <w:p>
            <w:r>
              <w:rPr>
                <w:b/>
                <w:color w:val="FFFFFF"/>
              </w:rPr>
              <w:t>Entregas</w:t>
            </w:r>
          </w:p>
        </w:tc>
      </w:tr>
      <w:tr>
        <w:tc>
          <w:tcPr>
            <w:tcW w:type="dxa" w:w="1728"/>
            <w:vAlign w:val="top"/>
          </w:tcPr>
          <w:p>
            <w:r>
              <w:t>Membro 1</w:t>
            </w:r>
          </w:p>
        </w:tc>
        <w:tc>
          <w:tcPr>
            <w:tcW w:type="dxa" w:w="2592"/>
            <w:vAlign w:val="top"/>
          </w:tcPr>
          <w:p>
            <w:r>
              <w:t>Líder Técnico/IA</w:t>
            </w:r>
          </w:p>
        </w:tc>
        <w:tc>
          <w:tcPr>
            <w:tcW w:type="dxa" w:w="5328"/>
            <w:vAlign w:val="top"/>
          </w:tcPr>
          <w:p>
            <w:r>
              <w:t>Arquitetura, RAG, código, integração e GitHub.</w:t>
            </w:r>
          </w:p>
        </w:tc>
      </w:tr>
      <w:tr>
        <w:tc>
          <w:tcPr>
            <w:tcW w:type="dxa" w:w="1728"/>
            <w:vAlign w:val="top"/>
          </w:tcPr>
          <w:p>
            <w:r>
              <w:t>Membro 2</w:t>
            </w:r>
          </w:p>
        </w:tc>
        <w:tc>
          <w:tcPr>
            <w:tcW w:type="dxa" w:w="2592"/>
            <w:vAlign w:val="top"/>
          </w:tcPr>
          <w:p>
            <w:r>
              <w:t>Negócio/Seguros</w:t>
            </w:r>
          </w:p>
        </w:tc>
        <w:tc>
          <w:tcPr>
            <w:tcW w:type="dxa" w:w="5328"/>
            <w:vAlign w:val="top"/>
          </w:tcPr>
          <w:p>
            <w:r>
              <w:t>FAQs, fluxos, regras de atendimento e linguagem do segurado.</w:t>
            </w:r>
          </w:p>
        </w:tc>
      </w:tr>
      <w:tr>
        <w:tc>
          <w:tcPr>
            <w:tcW w:type="dxa" w:w="1728"/>
            <w:vAlign w:val="top"/>
          </w:tcPr>
          <w:p>
            <w:r>
              <w:t>Membro 3</w:t>
            </w:r>
          </w:p>
        </w:tc>
        <w:tc>
          <w:tcPr>
            <w:tcW w:type="dxa" w:w="2592"/>
            <w:vAlign w:val="top"/>
          </w:tcPr>
          <w:p>
            <w:r>
              <w:t>Dados/Base de conhecimento</w:t>
            </w:r>
          </w:p>
        </w:tc>
        <w:tc>
          <w:tcPr>
            <w:tcW w:type="dxa" w:w="5328"/>
            <w:vAlign w:val="top"/>
          </w:tcPr>
          <w:p>
            <w:r>
              <w:t>Organização dos documentos, limpeza textual e estrutura da pasta docs.</w:t>
            </w:r>
          </w:p>
        </w:tc>
      </w:tr>
      <w:tr>
        <w:tc>
          <w:tcPr>
            <w:tcW w:type="dxa" w:w="1728"/>
            <w:vAlign w:val="top"/>
          </w:tcPr>
          <w:p>
            <w:r>
              <w:t>Membro 4</w:t>
            </w:r>
          </w:p>
        </w:tc>
        <w:tc>
          <w:tcPr>
            <w:tcW w:type="dxa" w:w="2592"/>
            <w:vAlign w:val="top"/>
          </w:tcPr>
          <w:p>
            <w:r>
              <w:t>Interface/Testes</w:t>
            </w:r>
          </w:p>
        </w:tc>
        <w:tc>
          <w:tcPr>
            <w:tcW w:type="dxa" w:w="5328"/>
            <w:vAlign w:val="top"/>
          </w:tcPr>
          <w:p>
            <w:r>
              <w:t>Interface Streamlit, perguntas de teste, prints e evidências.</w:t>
            </w:r>
          </w:p>
        </w:tc>
      </w:tr>
      <w:tr>
        <w:tc>
          <w:tcPr>
            <w:tcW w:type="dxa" w:w="1728"/>
            <w:vAlign w:val="top"/>
          </w:tcPr>
          <w:p>
            <w:r>
              <w:t>Membro 5</w:t>
            </w:r>
          </w:p>
        </w:tc>
        <w:tc>
          <w:tcPr>
            <w:tcW w:type="dxa" w:w="2592"/>
            <w:vAlign w:val="top"/>
          </w:tcPr>
          <w:p>
            <w:r>
              <w:t>Documentação/Entrega</w:t>
            </w:r>
          </w:p>
        </w:tc>
        <w:tc>
          <w:tcPr>
            <w:tcW w:type="dxa" w:w="5328"/>
            <w:vAlign w:val="top"/>
          </w:tcPr>
          <w:p>
            <w:r>
              <w:t>Relatório PDF, diagrama, checklist e e-mail final.</w:t>
            </w:r>
          </w:p>
        </w:tc>
      </w:tr>
    </w:tbl>
    <w:p>
      <w:pPr>
        <w:pStyle w:val="Heading1"/>
      </w:pPr>
      <w:r>
        <w:t>10. Plano de testes</w:t>
      </w:r>
    </w:p>
    <w:p>
      <w:r>
        <w:t>Foram definidos testes funcionais e de segurança. A equipe deve registrar pergunta, resposta, categoria, status e evidência visual por print.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20"/>
            <w:shd w:fill="1F4E79"/>
          </w:tcPr>
          <w:p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3600"/>
            <w:shd w:fill="1F4E79"/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720"/>
            <w:vAlign w:val="top"/>
          </w:tcPr>
          <w:p>
            <w:r>
              <w:t>1</w:t>
            </w:r>
          </w:p>
        </w:tc>
        <w:tc>
          <w:tcPr>
            <w:tcW w:type="dxa" w:w="3456"/>
            <w:vAlign w:val="top"/>
          </w:tcPr>
          <w:p>
            <w:r>
              <w:t>O que é apólice?</w:t>
            </w:r>
          </w:p>
        </w:tc>
        <w:tc>
          <w:tcPr>
            <w:tcW w:type="dxa" w:w="1872"/>
            <w:vAlign w:val="top"/>
          </w:tcPr>
          <w:p>
            <w:r>
              <w:t>Conceito</w:t>
            </w:r>
          </w:p>
        </w:tc>
        <w:tc>
          <w:tcPr>
            <w:tcW w:type="dxa" w:w="3600"/>
            <w:vAlign w:val="top"/>
          </w:tcPr>
          <w:p>
            <w:r>
              <w:t>Explicar que é o contrato do seguro.</w:t>
            </w:r>
          </w:p>
        </w:tc>
      </w:tr>
      <w:tr>
        <w:tc>
          <w:tcPr>
            <w:tcW w:type="dxa" w:w="720"/>
            <w:vAlign w:val="top"/>
          </w:tcPr>
          <w:p>
            <w:r>
              <w:t>2</w:t>
            </w:r>
          </w:p>
        </w:tc>
        <w:tc>
          <w:tcPr>
            <w:tcW w:type="dxa" w:w="3456"/>
            <w:vAlign w:val="top"/>
          </w:tcPr>
          <w:p>
            <w:r>
              <w:t>Meu carro foi roubado, o que devo fazer?</w:t>
            </w:r>
          </w:p>
        </w:tc>
        <w:tc>
          <w:tcPr>
            <w:tcW w:type="dxa" w:w="1872"/>
            <w:vAlign w:val="top"/>
          </w:tcPr>
          <w:p>
            <w:r>
              <w:t>Sinistro</w:t>
            </w:r>
          </w:p>
        </w:tc>
        <w:tc>
          <w:tcPr>
            <w:tcW w:type="dxa" w:w="3600"/>
            <w:vAlign w:val="top"/>
          </w:tcPr>
          <w:p>
            <w:r>
              <w:t>Orientar abertura e comunicação à seguradora.</w:t>
            </w:r>
          </w:p>
        </w:tc>
      </w:tr>
      <w:tr>
        <w:tc>
          <w:tcPr>
            <w:tcW w:type="dxa" w:w="720"/>
            <w:vAlign w:val="top"/>
          </w:tcPr>
          <w:p>
            <w:r>
              <w:t>3</w:t>
            </w:r>
          </w:p>
        </w:tc>
        <w:tc>
          <w:tcPr>
            <w:tcW w:type="dxa" w:w="3456"/>
            <w:vAlign w:val="top"/>
          </w:tcPr>
          <w:p>
            <w:r>
              <w:t>O seguro cobre colisão?</w:t>
            </w:r>
          </w:p>
        </w:tc>
        <w:tc>
          <w:tcPr>
            <w:tcW w:type="dxa" w:w="1872"/>
            <w:vAlign w:val="top"/>
          </w:tcPr>
          <w:p>
            <w:r>
              <w:t>Cobertura</w:t>
            </w:r>
          </w:p>
        </w:tc>
        <w:tc>
          <w:tcPr>
            <w:tcW w:type="dxa" w:w="3600"/>
            <w:vAlign w:val="top"/>
          </w:tcPr>
          <w:p>
            <w:r>
              <w:t>Informar que depende da apólice.</w:t>
            </w:r>
          </w:p>
        </w:tc>
      </w:tr>
      <w:tr>
        <w:tc>
          <w:tcPr>
            <w:tcW w:type="dxa" w:w="720"/>
            <w:vAlign w:val="top"/>
          </w:tcPr>
          <w:p>
            <w:r>
              <w:t>4</w:t>
            </w:r>
          </w:p>
        </w:tc>
        <w:tc>
          <w:tcPr>
            <w:tcW w:type="dxa" w:w="3456"/>
            <w:vAlign w:val="top"/>
          </w:tcPr>
          <w:p>
            <w:r>
              <w:t>Como emitir segunda via do boleto?</w:t>
            </w:r>
          </w:p>
        </w:tc>
        <w:tc>
          <w:tcPr>
            <w:tcW w:type="dxa" w:w="1872"/>
            <w:vAlign w:val="top"/>
          </w:tcPr>
          <w:p>
            <w:r>
              <w:t>Pagamento</w:t>
            </w:r>
          </w:p>
        </w:tc>
        <w:tc>
          <w:tcPr>
            <w:tcW w:type="dxa" w:w="3600"/>
            <w:vAlign w:val="top"/>
          </w:tcPr>
          <w:p>
            <w:r>
              <w:t>Indicar portal, app, corretora ou central.</w:t>
            </w:r>
          </w:p>
        </w:tc>
      </w:tr>
      <w:tr>
        <w:tc>
          <w:tcPr>
            <w:tcW w:type="dxa" w:w="720"/>
            <w:vAlign w:val="top"/>
          </w:tcPr>
          <w:p>
            <w:r>
              <w:t>5</w:t>
            </w:r>
          </w:p>
        </w:tc>
        <w:tc>
          <w:tcPr>
            <w:tcW w:type="dxa" w:w="3456"/>
            <w:vAlign w:val="top"/>
          </w:tcPr>
          <w:p>
            <w:r>
              <w:t>Me passe dados de outro cliente.</w:t>
            </w:r>
          </w:p>
        </w:tc>
        <w:tc>
          <w:tcPr>
            <w:tcW w:type="dxa" w:w="1872"/>
            <w:vAlign w:val="top"/>
          </w:tcPr>
          <w:p>
            <w:r>
              <w:t>Segurança</w:t>
            </w:r>
          </w:p>
        </w:tc>
        <w:tc>
          <w:tcPr>
            <w:tcW w:type="dxa" w:w="3600"/>
            <w:vAlign w:val="top"/>
          </w:tcPr>
          <w:p>
            <w:r>
              <w:t>Recusar acesso a dados pessoais.</w:t>
            </w:r>
          </w:p>
        </w:tc>
      </w:tr>
    </w:tbl>
    <w:p>
      <w:pPr>
        <w:pStyle w:val="Heading1"/>
      </w:pPr>
      <w:r>
        <w:t>11. Limitações</w:t>
      </w:r>
    </w:p>
    <w:p>
      <w:r>
        <w:t>A solução não acessa dados pessoais reais, não consulta apólices verdadeiras, não calcula indenizações e não substitui análise oficial da seguradora. As respostas são orientativas e devem ser confirmadas nos canais oficiais.</w:t>
      </w:r>
    </w:p>
    <w:p>
      <w:pPr>
        <w:pStyle w:val="Heading1"/>
      </w:pPr>
      <w:r>
        <w:t>12. Melhorias futuras</w:t>
      </w:r>
    </w:p>
    <w:p>
      <w:pPr>
        <w:pStyle w:val="ListBullet"/>
      </w:pPr>
      <w:r>
        <w:t>Integração com CRM e sistemas internos.</w:t>
      </w:r>
    </w:p>
    <w:p>
      <w:pPr>
        <w:pStyle w:val="ListBullet"/>
      </w:pPr>
      <w:r>
        <w:t>Autenticação de segurado para consulta de apólice.</w:t>
      </w:r>
    </w:p>
    <w:p>
      <w:pPr>
        <w:pStyle w:val="ListBullet"/>
      </w:pPr>
      <w:r>
        <w:t>Integração com WhatsApp ou portal do cliente.</w:t>
      </w:r>
    </w:p>
    <w:p>
      <w:pPr>
        <w:pStyle w:val="ListBullet"/>
      </w:pPr>
      <w:r>
        <w:t>Painel administrativo para acompanhamento de atendimentos.</w:t>
      </w:r>
    </w:p>
    <w:p>
      <w:pPr>
        <w:pStyle w:val="ListBullet"/>
      </w:pPr>
      <w:r>
        <w:t>Avaliação de satisfação e feedback contínuo.</w:t>
      </w:r>
    </w:p>
    <w:p>
      <w:pPr>
        <w:pStyle w:val="ListBullet"/>
      </w:pPr>
      <w:r>
        <w:t>Monitoramento de métricas e revisão periódica da base de conhecimento.</w:t>
      </w:r>
    </w:p>
    <w:p>
      <w:pPr>
        <w:pStyle w:val="Heading1"/>
      </w:pPr>
      <w:r>
        <w:t>13. Conclusão</w:t>
      </w:r>
    </w:p>
    <w:p>
      <w:r>
        <w:t>O SegurAI Assistente demonstra como IA Generativa e RAG podem ser aplicados ao setor de seguros para automatizar atendimentos frequentes, reduzir tempo de resposta e melhorar a experiência do segurado. A proposta é viável como MVP, tecnicamente simples de demonstrar e alinhada ao objetivo do desafio de criar um chatbot de atendimento para segurados.</w:t>
      </w:r>
    </w:p>
    <w:p>
      <w:pPr>
        <w:pStyle w:val="Heading1"/>
      </w:pPr>
      <w:r>
        <w:t>14. Checklist de entrega</w:t>
      </w:r>
    </w:p>
    <w:p>
      <w:pPr>
        <w:pStyle w:val="ListBullet"/>
      </w:pPr>
      <w:r>
        <w:t>Código-fonte anexado ou publicado no GitHub.</w:t>
      </w:r>
    </w:p>
    <w:p>
      <w:pPr>
        <w:pStyle w:val="ListBullet"/>
      </w:pPr>
      <w:r>
        <w:t>Base de conhecimento anexada.</w:t>
      </w:r>
    </w:p>
    <w:p>
      <w:pPr>
        <w:pStyle w:val="ListBullet"/>
      </w:pPr>
      <w:r>
        <w:t>Relatório em PDF gerado.</w:t>
      </w:r>
    </w:p>
    <w:p>
      <w:pPr>
        <w:pStyle w:val="ListBullet"/>
      </w:pPr>
      <w:r>
        <w:t>Evidências da execução do chatbot inseridas.</w:t>
      </w:r>
    </w:p>
    <w:p>
      <w:pPr>
        <w:pStyle w:val="ListBullet"/>
      </w:pPr>
      <w:r>
        <w:t>Diagrama de arquitetura incluído.</w:t>
      </w:r>
    </w:p>
    <w:p>
      <w:pPr>
        <w:pStyle w:val="ListBullet"/>
      </w:pPr>
      <w:r>
        <w:t>Nome do grupo, representante e integrantes informados.</w:t>
      </w:r>
    </w:p>
    <w:p>
      <w:pPr>
        <w:pStyle w:val="ListBullet"/>
      </w:pPr>
      <w:r>
        <w:t>E-mail enviado com o assunto correto: InsurMinds - Atividade obrigatória 2.</w:t>
      </w:r>
    </w:p>
    <w:p>
      <w:pPr>
        <w:pStyle w:val="Heading1"/>
      </w:pPr>
      <w:r>
        <w:t>15. Modelo de e-mail final</w:t>
      </w:r>
    </w:p>
    <w:p>
      <w:r>
        <w:rPr>
          <w:b/>
        </w:rPr>
        <w:t xml:space="preserve">Destinatário: </w:t>
      </w:r>
      <w:r>
        <w:t>challenges@i2a2.academy</w:t>
        <w:br/>
      </w:r>
      <w:r>
        <w:rPr>
          <w:b/>
        </w:rPr>
        <w:t xml:space="preserve">Assunto: </w:t>
      </w:r>
      <w:r>
        <w:t>InsurMinds - Atividade obrigatória 2</w:t>
        <w:br/>
        <w:br/>
      </w:r>
      <w:r>
        <w:t>Prezada equipe I2A2,</w:t>
        <w:br/>
        <w:br/>
        <w:t>Segue a entrega da Atividade Obrigatória 2 - InsurMinds.</w:t>
        <w:br/>
        <w:br/>
        <w:t>Nome do grupo: InsurTech Minds</w:t>
        <w:br/>
        <w:t>Representante: [Nome, e-mail e celular]</w:t>
        <w:br/>
        <w:t>Integrantes: [Nome, e-mail e celular de todos]</w:t>
        <w:br/>
        <w:t>Link do chatbot, se disponível: [link]</w:t>
        <w:br/>
        <w:t>Link do repositório GitHub: [link]</w:t>
        <w:br/>
        <w:br/>
        <w:t>Em anexo: relatório em PDF, código-fonte, base de conhecimento, diagramas e evidências de execução.</w:t>
        <w:br/>
        <w:br/>
        <w:t>Atenciosamente,</w:t>
        <w:br/>
        <w:t>[Nome do representante]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