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E51A4B"/>
          <w:sz w:val="52"/>
        </w:rPr>
        <w:t>InvestoXpert</w:t>
      </w:r>
    </w:p>
    <w:p>
      <w:pPr>
        <w:spacing w:before="0" w:after="280"/>
      </w:pPr>
      <w:r>
        <w:rPr>
          <w:rFonts w:ascii="Calibri" w:hAnsi="Calibri"/>
          <w:b/>
          <w:color w:val="111111"/>
          <w:sz w:val="32"/>
        </w:rPr>
        <w:t>Comprehensive Project Summary &amp; Tech Stack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9F9F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i/>
                <w:color w:val="555555"/>
                <w:sz w:val="22"/>
              </w:rPr>
              <w:t>This document provides a thorough analysis of the InvestoXpert real estate web portal: what technologies are used, why each technology and framework was selected, how the architecture is organized, and how the page achieves pixel-perfect fidelity with high performance.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b/>
          <w:color w:val="E51A4B"/>
          <w:sz w:val="28"/>
        </w:rPr>
        <w:t>1. Project Overview &amp; Objective</w:t>
      </w:r>
    </w:p>
    <w:p>
      <w:pPr>
        <w:pStyle w:val="ListBullet"/>
        <w:spacing w:after="60"/>
      </w:pPr>
      <w:r>
        <w:rPr>
          <w:b/>
          <w:color w:val="111111"/>
        </w:rPr>
        <w:t xml:space="preserve">Project Name: </w:t>
      </w:r>
      <w:r>
        <w:rPr>
          <w:color w:val="333333"/>
        </w:rPr>
        <w:t>InvestoXpert Homepage</w:t>
      </w:r>
    </w:p>
    <w:p>
      <w:pPr>
        <w:pStyle w:val="ListBullet"/>
        <w:spacing w:after="60"/>
      </w:pPr>
      <w:r>
        <w:rPr>
          <w:b/>
          <w:color w:val="111111"/>
        </w:rPr>
        <w:t xml:space="preserve">Source Design: </w:t>
      </w:r>
      <w:r>
        <w:rPr>
          <w:color w:val="333333"/>
        </w:rPr>
        <w:t>Figma master design (Investoxpert Final, frame "Homepage", node 1-12437)</w:t>
      </w:r>
    </w:p>
    <w:p>
      <w:pPr>
        <w:pStyle w:val="ListBullet"/>
        <w:spacing w:after="60"/>
      </w:pPr>
      <w:r>
        <w:rPr>
          <w:b/>
          <w:color w:val="111111"/>
        </w:rPr>
        <w:t xml:space="preserve">Canvas Dimensions: </w:t>
      </w:r>
      <w:r>
        <w:rPr>
          <w:color w:val="333333"/>
        </w:rPr>
        <w:t>1440px wide canvas, totaling 11,579px in height</w:t>
      </w:r>
    </w:p>
    <w:p>
      <w:pPr>
        <w:pStyle w:val="ListBullet"/>
        <w:spacing w:after="60"/>
      </w:pPr>
      <w:r>
        <w:rPr>
          <w:b/>
          <w:color w:val="111111"/>
        </w:rPr>
        <w:t xml:space="preserve">Core Mission: </w:t>
      </w:r>
      <w:r>
        <w:rPr>
          <w:color w:val="333333"/>
        </w:rPr>
        <w:t>A 1:1 pixel-level recreation of the Figma frame—matching the exact copy, typography (Poppins &amp; Inter), color palette, spacing, radii, drop shadows, vector glyphs, and high-resolution assets—combined with high-performance Next.js 16 architecture, client-side interactivity, and a 3-tier responsive layout system.</w:t>
      </w:r>
    </w:p>
    <w:p>
      <w:pPr>
        <w:pStyle w:val="Heading1"/>
        <w:spacing w:before="320" w:after="120"/>
      </w:pPr>
      <w:r>
        <w:rPr>
          <w:b/>
          <w:color w:val="E51A4B"/>
          <w:sz w:val="28"/>
        </w:rPr>
        <w:t>2. Complete Tech Stack Inventory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shd w:fill="E51A4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160"/>
            <w:shd w:fill="E51A4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1296"/>
            <w:shd w:fill="E51A4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464"/>
            <w:shd w:fill="E51A4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Key Role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11111"/>
                <w:sz w:val="19"/>
              </w:rPr>
              <w:t>Framework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E51A4B"/>
                <w:sz w:val="19"/>
              </w:rPr>
              <w:t>Next.js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555555"/>
                <w:sz w:val="19"/>
              </w:rPr>
              <w:t>16.4.0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333333"/>
                <w:sz w:val="19"/>
              </w:rPr>
              <w:t>React meta-framework with App Router, React Server Components (RSC), and Partial Prerendering (PPR)</w:t>
            </w:r>
          </w:p>
        </w:tc>
      </w:tr>
      <w:tr>
        <w:tc>
          <w:tcPr>
            <w:tcW w:type="dxa" w:w="187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11111"/>
                <w:sz w:val="19"/>
              </w:rPr>
              <w:t>UI Library</w:t>
            </w:r>
          </w:p>
        </w:tc>
        <w:tc>
          <w:tcPr>
            <w:tcW w:type="dxa" w:w="216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E51A4B"/>
                <w:sz w:val="19"/>
              </w:rPr>
              <w:t>React</w:t>
            </w:r>
          </w:p>
        </w:tc>
        <w:tc>
          <w:tcPr>
            <w:tcW w:type="dxa" w:w="1296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555555"/>
                <w:sz w:val="19"/>
              </w:rPr>
              <w:t>19.3.0</w:t>
            </w:r>
          </w:p>
        </w:tc>
        <w:tc>
          <w:tcPr>
            <w:tcW w:type="dxa" w:w="446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333333"/>
                <w:sz w:val="19"/>
              </w:rPr>
              <w:t>Modern UI library with concurrent rendering and compiler integration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11111"/>
                <w:sz w:val="19"/>
              </w:rPr>
              <w:t>DOM Renderer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E51A4B"/>
                <w:sz w:val="19"/>
              </w:rPr>
              <w:t>React DOM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555555"/>
                <w:sz w:val="19"/>
              </w:rPr>
              <w:t>19.3.0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333333"/>
                <w:sz w:val="19"/>
              </w:rPr>
              <w:t>Server and client DOM renderer</w:t>
            </w:r>
          </w:p>
        </w:tc>
      </w:tr>
      <w:tr>
        <w:tc>
          <w:tcPr>
            <w:tcW w:type="dxa" w:w="187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11111"/>
                <w:sz w:val="19"/>
              </w:rPr>
              <w:t>Compiler</w:t>
            </w:r>
          </w:p>
        </w:tc>
        <w:tc>
          <w:tcPr>
            <w:tcW w:type="dxa" w:w="216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E51A4B"/>
                <w:sz w:val="19"/>
              </w:rPr>
              <w:t>Babel React Compiler</w:t>
            </w:r>
          </w:p>
        </w:tc>
        <w:tc>
          <w:tcPr>
            <w:tcW w:type="dxa" w:w="1296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555555"/>
                <w:sz w:val="19"/>
              </w:rPr>
              <w:t>1.0.0</w:t>
            </w:r>
          </w:p>
        </w:tc>
        <w:tc>
          <w:tcPr>
            <w:tcW w:type="dxa" w:w="446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333333"/>
                <w:sz w:val="19"/>
              </w:rPr>
              <w:t>Build-time automated memoization without manual useMemo/useCallback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11111"/>
                <w:sz w:val="19"/>
              </w:rPr>
              <w:t>Language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E51A4B"/>
                <w:sz w:val="19"/>
              </w:rPr>
              <w:t>TypeScript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555555"/>
                <w:sz w:val="19"/>
              </w:rPr>
              <w:t>^5.0.0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333333"/>
                <w:sz w:val="19"/>
              </w:rPr>
              <w:t>Strict static typing, interfaces, and end-to-end data contracts</w:t>
            </w:r>
          </w:p>
        </w:tc>
      </w:tr>
      <w:tr>
        <w:tc>
          <w:tcPr>
            <w:tcW w:type="dxa" w:w="187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11111"/>
                <w:sz w:val="19"/>
              </w:rPr>
              <w:t>Styling</w:t>
            </w:r>
          </w:p>
        </w:tc>
        <w:tc>
          <w:tcPr>
            <w:tcW w:type="dxa" w:w="216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E51A4B"/>
                <w:sz w:val="19"/>
              </w:rPr>
              <w:t>Vanilla Modular CSS + Tokens</w:t>
            </w:r>
          </w:p>
        </w:tc>
        <w:tc>
          <w:tcPr>
            <w:tcW w:type="dxa" w:w="1296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555555"/>
                <w:sz w:val="19"/>
              </w:rPr>
              <w:t>Native</w:t>
            </w:r>
          </w:p>
        </w:tc>
        <w:tc>
          <w:tcPr>
            <w:tcW w:type="dxa" w:w="446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333333"/>
                <w:sz w:val="19"/>
              </w:rPr>
              <w:t>Zero-runtime CSS design tokens, section-scoped stylesheets, and media query overrides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11111"/>
                <w:sz w:val="19"/>
              </w:rPr>
              <w:t>Responsive Engine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E51A4B"/>
                <w:sz w:val="19"/>
              </w:rPr>
              <w:t>Custom FitScale Hook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555555"/>
                <w:sz w:val="19"/>
              </w:rPr>
              <w:t>Native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333333"/>
                <w:sz w:val="19"/>
              </w:rPr>
              <w:t>Proportional desktop canvas zooming (zoom property) for 1200px–1440px+ viewports</w:t>
            </w:r>
          </w:p>
        </w:tc>
      </w:tr>
      <w:tr>
        <w:tc>
          <w:tcPr>
            <w:tcW w:type="dxa" w:w="187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11111"/>
                <w:sz w:val="19"/>
              </w:rPr>
              <w:t>Typography</w:t>
            </w:r>
          </w:p>
        </w:tc>
        <w:tc>
          <w:tcPr>
            <w:tcW w:type="dxa" w:w="216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E51A4B"/>
                <w:sz w:val="19"/>
              </w:rPr>
              <w:t>@next/font/google</w:t>
            </w:r>
          </w:p>
        </w:tc>
        <w:tc>
          <w:tcPr>
            <w:tcW w:type="dxa" w:w="1296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555555"/>
                <w:sz w:val="19"/>
              </w:rPr>
              <w:t>Built-in</w:t>
            </w:r>
          </w:p>
        </w:tc>
        <w:tc>
          <w:tcPr>
            <w:tcW w:type="dxa" w:w="446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333333"/>
                <w:sz w:val="19"/>
              </w:rPr>
              <w:t>Self-hosted Poppins and Inter with zero Cumulative Layout Shift (CLS)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11111"/>
                <w:sz w:val="19"/>
              </w:rPr>
              <w:t>Iconography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E51A4B"/>
                <w:sz w:val="19"/>
              </w:rPr>
              <w:t>Inlined Figma SVGs + react-icons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555555"/>
                <w:sz w:val="19"/>
              </w:rPr>
              <w:t>^5.7.0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333333"/>
                <w:sz w:val="19"/>
              </w:rPr>
              <w:t>Traced vector path glyphs and optional supplementary icons</w:t>
            </w:r>
          </w:p>
        </w:tc>
      </w:tr>
      <w:tr>
        <w:tc>
          <w:tcPr>
            <w:tcW w:type="dxa" w:w="187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11111"/>
                <w:sz w:val="19"/>
              </w:rPr>
              <w:t>State Management</w:t>
            </w:r>
          </w:p>
        </w:tc>
        <w:tc>
          <w:tcPr>
            <w:tcW w:type="dxa" w:w="216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E51A4B"/>
                <w:sz w:val="19"/>
              </w:rPr>
              <w:t>React 19 Context + Hooks</w:t>
            </w:r>
          </w:p>
        </w:tc>
        <w:tc>
          <w:tcPr>
            <w:tcW w:type="dxa" w:w="1296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555555"/>
                <w:sz w:val="19"/>
              </w:rPr>
              <w:t>Native</w:t>
            </w:r>
          </w:p>
        </w:tc>
        <w:tc>
          <w:tcPr>
            <w:tcW w:type="dxa" w:w="446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333333"/>
                <w:sz w:val="19"/>
              </w:rPr>
              <w:t>Global lead capture modal orchestration (ContactContext) and local component states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11111"/>
                <w:sz w:val="19"/>
              </w:rPr>
              <w:t>Dev Bundler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E51A4B"/>
                <w:sz w:val="19"/>
              </w:rPr>
              <w:t>Turbopack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555555"/>
                <w:sz w:val="19"/>
              </w:rPr>
              <w:t>Built-in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333333"/>
                <w:sz w:val="19"/>
              </w:rPr>
              <w:t>Rust-based bundler for ultra-fast incremental builds and sub-second HMR</w:t>
            </w:r>
          </w:p>
        </w:tc>
      </w:tr>
      <w:tr>
        <w:tc>
          <w:tcPr>
            <w:tcW w:type="dxa" w:w="187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11111"/>
                <w:sz w:val="19"/>
              </w:rPr>
              <w:t>Linter &amp; Quality</w:t>
            </w:r>
          </w:p>
        </w:tc>
        <w:tc>
          <w:tcPr>
            <w:tcW w:type="dxa" w:w="2160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E51A4B"/>
                <w:sz w:val="19"/>
              </w:rPr>
              <w:t>ESLint 9 (Flat Config)</w:t>
            </w:r>
          </w:p>
        </w:tc>
        <w:tc>
          <w:tcPr>
            <w:tcW w:type="dxa" w:w="1296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555555"/>
                <w:sz w:val="19"/>
              </w:rPr>
              <w:t>^9.0.0</w:t>
            </w:r>
          </w:p>
        </w:tc>
        <w:tc>
          <w:tcPr>
            <w:tcW w:type="dxa" w:w="4464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333333"/>
                <w:sz w:val="19"/>
              </w:rPr>
              <w:t>Core Web Vitals, TypeScript linting, and accessibility rules (eslint-config-next)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11111"/>
                <w:sz w:val="19"/>
              </w:rPr>
              <w:t>Runtime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E51A4B"/>
                <w:sz w:val="19"/>
              </w:rPr>
              <w:t>Node.js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555555"/>
                <w:sz w:val="19"/>
              </w:rPr>
              <w:t>&gt;=20.0.0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color w:val="333333"/>
                <w:sz w:val="19"/>
              </w:rPr>
              <w:t>Modern JavaScript server runtime (developed on Node 22)</w:t>
            </w:r>
          </w:p>
        </w:tc>
      </w:tr>
    </w:tbl>
    <w:p>
      <w:pPr>
        <w:pStyle w:val="Heading1"/>
        <w:spacing w:before="360" w:after="120"/>
      </w:pPr>
      <w:r>
        <w:rPr>
          <w:b/>
          <w:color w:val="E51A4B"/>
          <w:sz w:val="28"/>
        </w:rPr>
        <w:t>3. Deep-Dive Analysis: What Was Used &amp; Why</w:t>
      </w:r>
    </w:p>
    <w:p>
      <w:pPr>
        <w:pStyle w:val="Heading2"/>
        <w:spacing w:before="200" w:after="80"/>
      </w:pPr>
      <w:r>
        <w:rPr>
          <w:b/>
          <w:color w:val="111111"/>
          <w:sz w:val="24"/>
        </w:rPr>
        <w:t>3.1. Why Next.js 16 (App Router)?</w:t>
      </w:r>
    </w:p>
    <w:p>
      <w:pPr>
        <w:pStyle w:val="ListBullet"/>
        <w:spacing w:after="50"/>
      </w:pPr>
      <w:r>
        <w:rPr>
          <w:b/>
          <w:color w:val="111111"/>
        </w:rPr>
        <w:t xml:space="preserve">Hybrid Server/Client Architecture (Islands): </w:t>
      </w:r>
      <w:r>
        <w:rPr>
          <w:color w:val="333333"/>
        </w:rPr>
        <w:t>Non-interactive marketing sections (Developers, Awards, Consultation, Values, DreamHome, Footer) render as pure React Server Components with 0 KB of client JavaScript. Interactive sections (Hero search tabs, Featured Projects filter chips, Insights carousel, FAQ accordion, Contact modal) hydrate independently as client islands.</w:t>
      </w:r>
    </w:p>
    <w:p>
      <w:pPr>
        <w:pStyle w:val="ListBullet"/>
        <w:spacing w:after="50"/>
      </w:pPr>
      <w:r>
        <w:rPr>
          <w:b/>
          <w:color w:val="111111"/>
        </w:rPr>
        <w:t xml:space="preserve">Partial Prerendering (PPR) &amp; Component Caching: </w:t>
      </w:r>
      <w:r>
        <w:rPr>
          <w:color w:val="333333"/>
        </w:rPr>
        <w:t>Combines instant static shell delivery with dynamic island streaming, providing near-zero Time to First Byte (TTFB).</w:t>
      </w:r>
    </w:p>
    <w:p>
      <w:pPr>
        <w:pStyle w:val="ListBullet"/>
        <w:spacing w:after="50"/>
      </w:pPr>
      <w:r>
        <w:rPr>
          <w:b/>
          <w:color w:val="111111"/>
        </w:rPr>
        <w:t xml:space="preserve">SEO-First Discovery: </w:t>
      </w:r>
      <w:r>
        <w:rPr>
          <w:color w:val="333333"/>
        </w:rPr>
        <w:t>Real estate discovery depends on search engine visibility. Next.js SSR provides full HTML upfront to search engines with complete metadata management.</w:t>
      </w:r>
    </w:p>
    <w:p>
      <w:pPr>
        <w:pStyle w:val="ListBullet"/>
        <w:spacing w:after="50"/>
      </w:pPr>
      <w:r>
        <w:rPr>
          <w:b/>
          <w:color w:val="111111"/>
        </w:rPr>
        <w:t xml:space="preserve">Turbopack Engine: </w:t>
      </w:r>
      <w:r>
        <w:rPr>
          <w:color w:val="333333"/>
        </w:rPr>
        <w:t>Rust-based bundler recompiles modified modules in milliseconds during development.</w:t>
      </w:r>
    </w:p>
    <w:p>
      <w:pPr>
        <w:pStyle w:val="Heading2"/>
        <w:spacing w:before="200" w:after="80"/>
      </w:pPr>
      <w:r>
        <w:rPr>
          <w:b/>
          <w:color w:val="111111"/>
          <w:sz w:val="24"/>
        </w:rPr>
        <w:t>3.2. Why React 19 &amp; React Compiler?</w:t>
      </w:r>
    </w:p>
    <w:p>
      <w:pPr>
        <w:pStyle w:val="ListBullet"/>
        <w:spacing w:after="50"/>
      </w:pPr>
      <w:r>
        <w:rPr>
          <w:b/>
          <w:color w:val="111111"/>
        </w:rPr>
        <w:t xml:space="preserve">Automated Memoization: </w:t>
      </w:r>
      <w:r>
        <w:rPr>
          <w:color w:val="333333"/>
        </w:rPr>
        <w:t>Eliminates the need for manual useMemo, useCallback, and React.memo across large filterable catalog grids. The compiler optimizes re-rendering flows automatically at build time.</w:t>
      </w:r>
    </w:p>
    <w:p>
      <w:pPr>
        <w:pStyle w:val="ListBullet"/>
        <w:spacing w:after="50"/>
      </w:pPr>
      <w:r>
        <w:rPr>
          <w:b/>
          <w:color w:val="111111"/>
        </w:rPr>
        <w:t xml:space="preserve">Hydration &amp; Concurrency: </w:t>
      </w:r>
      <w:r>
        <w:rPr>
          <w:color w:val="333333"/>
        </w:rPr>
        <w:t>Provides immediate responsive feedback for user interactions such as tab switching, filtering, and opening dialogs.</w:t>
      </w:r>
    </w:p>
    <w:p>
      <w:pPr>
        <w:pStyle w:val="Heading2"/>
        <w:spacing w:before="200" w:after="80"/>
      </w:pPr>
      <w:r>
        <w:rPr>
          <w:b/>
          <w:color w:val="111111"/>
          <w:sz w:val="24"/>
        </w:rPr>
        <w:t>3.3. Why TypeScript 5?</w:t>
      </w:r>
    </w:p>
    <w:p>
      <w:pPr>
        <w:pStyle w:val="ListBullet"/>
        <w:spacing w:after="50"/>
      </w:pPr>
      <w:r>
        <w:rPr>
          <w:b/>
          <w:color w:val="111111"/>
        </w:rPr>
        <w:t xml:space="preserve">Type-Safe Real Estate Models: </w:t>
      </w:r>
      <w:r>
        <w:rPr>
          <w:color w:val="333333"/>
        </w:rPr>
        <w:t>Strict schemas for properties (Project), locations, prices, possession dates, increment scores, and badge types guarantee data consistency.</w:t>
      </w:r>
    </w:p>
    <w:p>
      <w:pPr>
        <w:pStyle w:val="ListBullet"/>
        <w:spacing w:after="50"/>
      </w:pPr>
      <w:r>
        <w:rPr>
          <w:b/>
          <w:color w:val="111111"/>
        </w:rPr>
        <w:t xml:space="preserve">Compile-Time Error Prevention: </w:t>
      </w:r>
      <w:r>
        <w:rPr>
          <w:color w:val="333333"/>
        </w:rPr>
        <w:t>Catch missing properties, invalid filter IDs, or broken SVG definitions before reaching production.</w:t>
      </w:r>
    </w:p>
    <w:p>
      <w:pPr>
        <w:pStyle w:val="Heading2"/>
        <w:spacing w:before="200" w:after="80"/>
      </w:pPr>
      <w:r>
        <w:rPr>
          <w:b/>
          <w:color w:val="111111"/>
          <w:sz w:val="24"/>
        </w:rPr>
        <w:t>3.4. Why Vanilla Modular CSS &amp; Token Design System?</w:t>
      </w:r>
    </w:p>
    <w:p>
      <w:pPr>
        <w:pStyle w:val="ListBullet"/>
        <w:spacing w:after="50"/>
      </w:pPr>
      <w:r>
        <w:rPr>
          <w:b/>
          <w:color w:val="111111"/>
        </w:rPr>
        <w:t xml:space="preserve">Pixel-Fidelity to 1440px Canvas: </w:t>
      </w:r>
      <w:r>
        <w:rPr>
          <w:color w:val="333333"/>
        </w:rPr>
        <w:t>The 11,579px tall Figma frame requires exact subpixel widths, heights, radii, and shadows that would result in unreadable arbitrary classes in Tailwind CSS.</w:t>
      </w:r>
    </w:p>
    <w:p>
      <w:pPr>
        <w:pStyle w:val="ListBullet"/>
        <w:spacing w:after="50"/>
      </w:pPr>
      <w:r>
        <w:rPr>
          <w:b/>
          <w:color w:val="111111"/>
        </w:rPr>
        <w:t xml:space="preserve">Zero Runtime Overhead: </w:t>
      </w:r>
      <w:r>
        <w:rPr>
          <w:color w:val="333333"/>
        </w:rPr>
        <w:t>Static CSS files deliver 0 KB JavaScript overhead and eliminate CSS-in-JS hydration delays.</w:t>
      </w:r>
    </w:p>
    <w:p>
      <w:pPr>
        <w:pStyle w:val="ListBullet"/>
        <w:spacing w:after="50"/>
      </w:pPr>
      <w:r>
        <w:rPr>
          <w:b/>
          <w:color w:val="111111"/>
        </w:rPr>
        <w:t xml:space="preserve">Maintainable Isolation: </w:t>
      </w:r>
      <w:r>
        <w:rPr>
          <w:color w:val="333333"/>
        </w:rPr>
        <w:t>Each visual section has its own scoped CSS file (hero.css, projects.css, faq.css), cleanly decoupling desktop, tablet, and mobile styles.</w:t>
      </w:r>
    </w:p>
    <w:p>
      <w:pPr>
        <w:pStyle w:val="Heading2"/>
        <w:spacing w:before="200" w:after="80"/>
      </w:pPr>
      <w:r>
        <w:rPr>
          <w:b/>
          <w:color w:val="111111"/>
          <w:sz w:val="24"/>
        </w:rPr>
        <w:t>3.5. Why the FitScale Viewport Zoom Engine?</w:t>
      </w:r>
    </w:p>
    <w:p>
      <w:pPr>
        <w:pStyle w:val="ListBullet"/>
        <w:spacing w:after="50"/>
      </w:pPr>
      <w:r>
        <w:rPr>
          <w:b/>
          <w:color w:val="111111"/>
        </w:rPr>
        <w:t xml:space="preserve">Laptop Proportional Scaling: </w:t>
      </w:r>
      <w:r>
        <w:rPr>
          <w:color w:val="333333"/>
        </w:rPr>
        <w:t>Desktop layouts designed at 1440px often suffer text reflows or broken alignments on 1280px–1366px laptops. FitScale uses CSS zoom (width / 1440) to keep the entire layout strictly 1:1 proportional.</w:t>
      </w:r>
    </w:p>
    <w:p>
      <w:pPr>
        <w:pStyle w:val="ListBullet"/>
        <w:spacing w:after="50"/>
      </w:pPr>
      <w:r>
        <w:rPr>
          <w:b/>
          <w:color w:val="111111"/>
        </w:rPr>
        <w:t xml:space="preserve">Clean Responsive Transition: </w:t>
      </w:r>
      <w:r>
        <w:rPr>
          <w:color w:val="333333"/>
        </w:rPr>
        <w:t>Disables itself below 1200px to seamlessly hand layout control over to fluid mobile and tablet stylesheets.</w:t>
      </w:r>
    </w:p>
    <w:p>
      <w:pPr>
        <w:pStyle w:val="Heading2"/>
        <w:spacing w:before="200" w:after="80"/>
      </w:pPr>
      <w:r>
        <w:rPr>
          <w:b/>
          <w:color w:val="111111"/>
          <w:sz w:val="24"/>
        </w:rPr>
        <w:t>3.6. Why next/font for Poppins and Inter?</w:t>
      </w:r>
    </w:p>
    <w:p>
      <w:pPr>
        <w:pStyle w:val="ListBullet"/>
        <w:spacing w:after="50"/>
      </w:pPr>
      <w:r>
        <w:rPr>
          <w:b/>
          <w:color w:val="111111"/>
        </w:rPr>
        <w:t xml:space="preserve">Zero Cumulative Layout Shift (CLS): </w:t>
      </w:r>
      <w:r>
        <w:rPr>
          <w:color w:val="333333"/>
        </w:rPr>
        <w:t>Automatically synthesizes fallback font metrics so the layout never jumps when fonts finish loading.</w:t>
      </w:r>
    </w:p>
    <w:p>
      <w:pPr>
        <w:pStyle w:val="ListBullet"/>
        <w:spacing w:after="50"/>
      </w:pPr>
      <w:r>
        <w:rPr>
          <w:b/>
          <w:color w:val="111111"/>
        </w:rPr>
        <w:t xml:space="preserve">Self-Hosted Privacy &amp; Speed: </w:t>
      </w:r>
      <w:r>
        <w:rPr>
          <w:color w:val="333333"/>
        </w:rPr>
        <w:t>Fonts are bundled at build time with no runtime calls to external Google servers.</w:t>
      </w:r>
    </w:p>
    <w:p>
      <w:pPr>
        <w:pStyle w:val="Heading2"/>
        <w:spacing w:before="200" w:after="80"/>
      </w:pPr>
      <w:r>
        <w:rPr>
          <w:b/>
          <w:color w:val="111111"/>
          <w:sz w:val="24"/>
        </w:rPr>
        <w:t>3.7. Why Inlined Mathematical SVGs &amp; Optimized Assets?</w:t>
      </w:r>
    </w:p>
    <w:p>
      <w:pPr>
        <w:pStyle w:val="ListBullet"/>
        <w:spacing w:after="50"/>
      </w:pPr>
      <w:r>
        <w:rPr>
          <w:b/>
          <w:color w:val="111111"/>
        </w:rPr>
        <w:t xml:space="preserve">Vector Accuracy: </w:t>
      </w:r>
      <w:r>
        <w:rPr>
          <w:color w:val="333333"/>
        </w:rPr>
        <w:t>Traced directly from Figma path coordinates (such as the 4-point AI sparkle star, building silhouettes, and accordion glyphs) to achieve exact line weights and curves.</w:t>
      </w:r>
    </w:p>
    <w:p>
      <w:pPr>
        <w:pStyle w:val="ListBullet"/>
        <w:spacing w:after="50"/>
      </w:pPr>
      <w:r>
        <w:rPr>
          <w:b/>
          <w:color w:val="111111"/>
        </w:rPr>
        <w:t xml:space="preserve">Zero Bundle Bloat: </w:t>
      </w:r>
      <w:r>
        <w:rPr>
          <w:color w:val="333333"/>
        </w:rPr>
        <w:t>Avoids loading large icon libraries containing thousands of unused assets.</w:t>
      </w:r>
    </w:p>
    <w:p>
      <w:pPr>
        <w:pStyle w:val="Heading2"/>
        <w:spacing w:before="200" w:after="80"/>
      </w:pPr>
      <w:r>
        <w:rPr>
          <w:b/>
          <w:color w:val="111111"/>
          <w:sz w:val="24"/>
        </w:rPr>
        <w:t>3.8. Why React Context for Global Lead Generation?</w:t>
      </w:r>
    </w:p>
    <w:p>
      <w:pPr>
        <w:pStyle w:val="ListBullet"/>
        <w:spacing w:after="50"/>
      </w:pPr>
      <w:r>
        <w:rPr>
          <w:b/>
          <w:color w:val="111111"/>
        </w:rPr>
        <w:t xml:space="preserve">Universal Modal Triggering: </w:t>
      </w:r>
      <w:r>
        <w:rPr>
          <w:color w:val="333333"/>
        </w:rPr>
        <w:t>Every CTA across all 16 sections (Contact Us, Book Appointment, View Details) connects to the same accessible modal dialog.</w:t>
      </w:r>
    </w:p>
    <w:p>
      <w:pPr>
        <w:pStyle w:val="ListBullet"/>
        <w:spacing w:after="50"/>
      </w:pPr>
      <w:r>
        <w:rPr>
          <w:b/>
          <w:color w:val="111111"/>
        </w:rPr>
        <w:t xml:space="preserve">Context-Aware Topic Passing: </w:t>
      </w:r>
      <w:r>
        <w:rPr>
          <w:color w:val="333333"/>
        </w:rPr>
        <w:t>Automatically initializes inquiries with the specific project name or topic the user clicked.</w:t>
      </w:r>
    </w:p>
    <w:p>
      <w:pPr>
        <w:pStyle w:val="Heading1"/>
        <w:spacing w:before="320" w:after="120"/>
      </w:pPr>
      <w:r>
        <w:rPr>
          <w:b/>
          <w:color w:val="E51A4B"/>
          <w:sz w:val="28"/>
        </w:rPr>
        <w:t>4. Three-Tier Responsive Strategy</w:t>
      </w:r>
    </w:p>
    <w:p>
      <w:pPr>
        <w:pStyle w:val="ListBullet"/>
        <w:spacing w:after="60"/>
      </w:pPr>
      <w:r>
        <w:rPr>
          <w:b/>
          <w:color w:val="111111"/>
        </w:rPr>
        <w:t xml:space="preserve">Desktop (&gt;= 1440px): </w:t>
      </w:r>
      <w:r>
        <w:rPr>
          <w:color w:val="333333"/>
        </w:rPr>
        <w:t>Fixed 1440px canvas centered with dark background; pixel-for-pixel match to the 11,579px Figma frame.</w:t>
      </w:r>
    </w:p>
    <w:p>
      <w:pPr>
        <w:pStyle w:val="ListBullet"/>
        <w:spacing w:after="60"/>
      </w:pPr>
      <w:r>
        <w:rPr>
          <w:b/>
          <w:color w:val="111111"/>
        </w:rPr>
        <w:t xml:space="preserve">Laptops (1200px – 1439px): </w:t>
      </w:r>
      <w:r>
        <w:rPr>
          <w:color w:val="333333"/>
        </w:rPr>
        <w:t>FitScale dynamically applies proportional CSS zoom (innerWidth / 1440) to preserve desktop design integrity without text reflows.</w:t>
      </w:r>
    </w:p>
    <w:p>
      <w:pPr>
        <w:pStyle w:val="ListBullet"/>
        <w:spacing w:after="60"/>
      </w:pPr>
      <w:r>
        <w:rPr>
          <w:b/>
          <w:color w:val="111111"/>
        </w:rPr>
        <w:t xml:space="preserve">Tablets (700px – 1199px): </w:t>
      </w:r>
      <w:r>
        <w:rPr>
          <w:color w:val="333333"/>
        </w:rPr>
        <w:t>FitScale disables; tablet.css applies fluid multi-column grid layouts with wider gutters and optimized typography.</w:t>
      </w:r>
    </w:p>
    <w:p>
      <w:pPr>
        <w:pStyle w:val="ListBullet"/>
        <w:spacing w:after="60"/>
      </w:pPr>
      <w:r>
        <w:rPr>
          <w:b/>
          <w:color w:val="111111"/>
        </w:rPr>
        <w:t xml:space="preserve">Mobile (&lt; 700px): </w:t>
      </w:r>
      <w:r>
        <w:rPr>
          <w:color w:val="333333"/>
        </w:rPr>
        <w:t>src/styles/mobile/*.css activates fluid single-column stacked layouts with full-width touch targets.</w:t>
      </w:r>
    </w:p>
    <w:p>
      <w:pPr>
        <w:pStyle w:val="Heading1"/>
        <w:spacing w:before="320" w:after="120"/>
      </w:pPr>
      <w:r>
        <w:rPr>
          <w:b/>
          <w:color w:val="E51A4B"/>
          <w:sz w:val="28"/>
        </w:rPr>
        <w:t>5. Page Sections &amp; Interactive Features Summary</w:t>
      </w:r>
    </w:p>
    <w:p>
      <w:pPr>
        <w:spacing w:after="50"/>
      </w:pPr>
      <w:r>
        <w:rPr>
          <w:b/>
          <w:color w:val="111111"/>
        </w:rPr>
        <w:t xml:space="preserve">1. Header: </w:t>
      </w:r>
      <w:r>
        <w:rPr>
          <w:color w:val="333333"/>
        </w:rPr>
        <w:t>Sticky navigation bar with logo, direct hotline call link (+91 98800 83870), and consultation CTA.</w:t>
      </w:r>
    </w:p>
    <w:p>
      <w:pPr>
        <w:spacing w:after="50"/>
      </w:pPr>
      <w:r>
        <w:rPr>
          <w:b/>
          <w:color w:val="111111"/>
        </w:rPr>
        <w:t xml:space="preserve">2. Hero: </w:t>
      </w:r>
      <w:r>
        <w:rPr>
          <w:color w:val="333333"/>
        </w:rPr>
        <w:t>Hero imagery, tagline 'India's #1 Real Estate Partner', Buy/Rent/AI search tabs with animated sparkle, and property type selector.</w:t>
      </w:r>
    </w:p>
    <w:p>
      <w:pPr>
        <w:spacing w:after="50"/>
      </w:pPr>
      <w:r>
        <w:rPr>
          <w:b/>
          <w:color w:val="111111"/>
        </w:rPr>
        <w:t xml:space="preserve">3. Developers: </w:t>
      </w:r>
      <w:r>
        <w:rPr>
          <w:color w:val="333333"/>
        </w:rPr>
        <w:t>Partner builder logo strip showcasing Palm Olympia, M3M, Lodha, DLF, Sobha, Omaxe, and Emaar.</w:t>
      </w:r>
    </w:p>
    <w:p>
      <w:pPr>
        <w:spacing w:after="50"/>
      </w:pPr>
      <w:r>
        <w:rPr>
          <w:b/>
          <w:color w:val="111111"/>
        </w:rPr>
        <w:t xml:space="preserve">4. Featured Projects: </w:t>
      </w:r>
      <w:r>
        <w:rPr>
          <w:color w:val="333333"/>
        </w:rPr>
        <w:t>Interactive city filter tabs, property status chips, project cards with Increment Scores (9.2/10), and view details CTAs.</w:t>
      </w:r>
    </w:p>
    <w:p>
      <w:pPr>
        <w:spacing w:after="50"/>
      </w:pPr>
      <w:r>
        <w:rPr>
          <w:b/>
          <w:color w:val="111111"/>
        </w:rPr>
        <w:t xml:space="preserve">5. Top Markets: </w:t>
      </w:r>
      <w:r>
        <w:rPr>
          <w:color w:val="333333"/>
        </w:rPr>
        <w:t>Overview of prime Indian property investment corridors.</w:t>
      </w:r>
    </w:p>
    <w:p>
      <w:pPr>
        <w:spacing w:after="50"/>
      </w:pPr>
      <w:r>
        <w:rPr>
          <w:b/>
          <w:color w:val="111111"/>
        </w:rPr>
        <w:t xml:space="preserve">6. Market Insights: </w:t>
      </w:r>
      <w:r>
        <w:rPr>
          <w:color w:val="333333"/>
        </w:rPr>
        <w:t>Editorial carousel highlighting industry trends, regulation, and market updates.</w:t>
      </w:r>
    </w:p>
    <w:p>
      <w:pPr>
        <w:spacing w:after="50"/>
      </w:pPr>
      <w:r>
        <w:rPr>
          <w:b/>
          <w:color w:val="111111"/>
        </w:rPr>
        <w:t xml:space="preserve">7. Awards: </w:t>
      </w:r>
      <w:r>
        <w:rPr>
          <w:color w:val="333333"/>
        </w:rPr>
        <w:t>Industry accolades validating company track record and excellence.</w:t>
      </w:r>
    </w:p>
    <w:p>
      <w:pPr>
        <w:spacing w:after="50"/>
      </w:pPr>
      <w:r>
        <w:rPr>
          <w:b/>
          <w:color w:val="111111"/>
        </w:rPr>
        <w:t xml:space="preserve">8. Consultation: </w:t>
      </w:r>
      <w:r>
        <w:rPr>
          <w:color w:val="333333"/>
        </w:rPr>
        <w:t>Expert advisory lead capture banner.</w:t>
      </w:r>
    </w:p>
    <w:p>
      <w:pPr>
        <w:spacing w:after="50"/>
      </w:pPr>
      <w:r>
        <w:rPr>
          <w:b/>
          <w:color w:val="111111"/>
        </w:rPr>
        <w:t xml:space="preserve">9. Why InvestoXpert: </w:t>
      </w:r>
      <w:r>
        <w:rPr>
          <w:color w:val="333333"/>
        </w:rPr>
        <w:t>Transparency, verified inventory, zero brokerage assistance, and post-purchase support.</w:t>
      </w:r>
    </w:p>
    <w:p>
      <w:pPr>
        <w:spacing w:after="50"/>
      </w:pPr>
      <w:r>
        <w:rPr>
          <w:b/>
          <w:color w:val="111111"/>
        </w:rPr>
        <w:t xml:space="preserve">10. Offices &amp; Centres: </w:t>
      </w:r>
      <w:r>
        <w:rPr>
          <w:color w:val="333333"/>
        </w:rPr>
        <w:t>Pan-India physical branch directory with addresses, hours, and direct map links.</w:t>
      </w:r>
    </w:p>
    <w:p>
      <w:pPr>
        <w:spacing w:after="50"/>
      </w:pPr>
      <w:r>
        <w:rPr>
          <w:b/>
          <w:color w:val="111111"/>
        </w:rPr>
        <w:t xml:space="preserve">11. Statistics: </w:t>
      </w:r>
      <w:r>
        <w:rPr>
          <w:color w:val="333333"/>
        </w:rPr>
        <w:t>Credibility metrics: 10,000+ Happy Customers, 500+ Projects, 15+ Cities, 12+ Years.</w:t>
      </w:r>
    </w:p>
    <w:p>
      <w:pPr>
        <w:spacing w:after="50"/>
      </w:pPr>
      <w:r>
        <w:rPr>
          <w:b/>
          <w:color w:val="111111"/>
        </w:rPr>
        <w:t xml:space="preserve">12. Testimonials: </w:t>
      </w:r>
      <w:r>
        <w:rPr>
          <w:color w:val="333333"/>
        </w:rPr>
        <w:t>Verified client video player and customer testimonial cards.</w:t>
      </w:r>
    </w:p>
    <w:p>
      <w:pPr>
        <w:spacing w:after="50"/>
      </w:pPr>
      <w:r>
        <w:rPr>
          <w:b/>
          <w:color w:val="111111"/>
        </w:rPr>
        <w:t xml:space="preserve">13. Events &amp; Expos: </w:t>
      </w:r>
      <w:r>
        <w:rPr>
          <w:color w:val="333333"/>
        </w:rPr>
        <w:t>Upcoming real estate exhibitions and investor webinars.</w:t>
      </w:r>
    </w:p>
    <w:p>
      <w:pPr>
        <w:spacing w:after="50"/>
      </w:pPr>
      <w:r>
        <w:rPr>
          <w:b/>
          <w:color w:val="111111"/>
        </w:rPr>
        <w:t xml:space="preserve">14. Buyer Journey: </w:t>
      </w:r>
      <w:r>
        <w:rPr>
          <w:color w:val="333333"/>
        </w:rPr>
        <w:t>5-step visual roadmap from search to key handover.</w:t>
      </w:r>
    </w:p>
    <w:p>
      <w:pPr>
        <w:spacing w:after="50"/>
      </w:pPr>
      <w:r>
        <w:rPr>
          <w:b/>
          <w:color w:val="111111"/>
        </w:rPr>
        <w:t xml:space="preserve">15. Core Values: </w:t>
      </w:r>
      <w:r>
        <w:rPr>
          <w:color w:val="333333"/>
        </w:rPr>
        <w:t>Trust, Transparency, Customer First, and Market Expertise.</w:t>
      </w:r>
    </w:p>
    <w:p>
      <w:pPr>
        <w:spacing w:after="50"/>
      </w:pPr>
      <w:r>
        <w:rPr>
          <w:b/>
          <w:color w:val="111111"/>
        </w:rPr>
        <w:t xml:space="preserve">16. Dream Home: </w:t>
      </w:r>
      <w:r>
        <w:rPr>
          <w:color w:val="333333"/>
        </w:rPr>
        <w:t>Closing engagement strip connecting buyers with advisory specialists.</w:t>
      </w:r>
    </w:p>
    <w:p>
      <w:pPr>
        <w:spacing w:after="50"/>
      </w:pPr>
      <w:r>
        <w:rPr>
          <w:b/>
          <w:color w:val="111111"/>
        </w:rPr>
        <w:t xml:space="preserve">17. FAQ Accordion: </w:t>
      </w:r>
      <w:r>
        <w:rPr>
          <w:color w:val="333333"/>
        </w:rPr>
        <w:t>Interactive questions &amp; answers with traced SVG plus/minus glyphs.</w:t>
      </w:r>
    </w:p>
    <w:p>
      <w:pPr>
        <w:spacing w:after="50"/>
      </w:pPr>
      <w:r>
        <w:rPr>
          <w:b/>
          <w:color w:val="111111"/>
        </w:rPr>
        <w:t xml:space="preserve">18. Footer: </w:t>
      </w:r>
      <w:r>
        <w:rPr>
          <w:color w:val="333333"/>
        </w:rPr>
        <w:t>Navigation links, regulatory RERA disclaimers, and copyright notices.</w:t>
      </w:r>
    </w:p>
    <w:p>
      <w:pPr>
        <w:spacing w:after="50"/>
      </w:pPr>
      <w:r>
        <w:rPr>
          <w:b/>
          <w:color w:val="111111"/>
        </w:rPr>
        <w:t xml:space="preserve">19. Contact Modal: </w:t>
      </w:r>
      <w:r>
        <w:rPr>
          <w:color w:val="333333"/>
        </w:rPr>
        <w:t>Global accessible lead capture modal with contextual topic routing.</w:t>
      </w:r>
    </w:p>
    <w:p>
      <w:pPr>
        <w:pStyle w:val="Heading1"/>
        <w:spacing w:before="320" w:after="120"/>
      </w:pPr>
      <w:r>
        <w:rPr>
          <w:b/>
          <w:color w:val="E51A4B"/>
          <w:sz w:val="28"/>
        </w:rPr>
        <w:t>6. Development &amp; Build Commands</w:t>
      </w:r>
    </w:p>
    <w:p>
      <w:pPr>
        <w:pStyle w:val="ListBullet"/>
        <w:spacing w:after="50"/>
      </w:pPr>
      <w:r>
        <w:rPr>
          <w:rFonts w:ascii="Consolas" w:hAnsi="Consolas"/>
          <w:b/>
          <w:color w:val="111111"/>
          <w:sz w:val="20"/>
        </w:rPr>
        <w:t xml:space="preserve">npm install </w:t>
      </w:r>
      <w:r>
        <w:rPr>
          <w:color w:val="555555"/>
        </w:rPr>
        <w:t>— Install all dependencies</w:t>
      </w:r>
    </w:p>
    <w:p>
      <w:pPr>
        <w:pStyle w:val="ListBullet"/>
        <w:spacing w:after="50"/>
      </w:pPr>
      <w:r>
        <w:rPr>
          <w:rFonts w:ascii="Consolas" w:hAnsi="Consolas"/>
          <w:b/>
          <w:color w:val="111111"/>
          <w:sz w:val="20"/>
        </w:rPr>
        <w:t xml:space="preserve">npm run dev </w:t>
      </w:r>
      <w:r>
        <w:rPr>
          <w:color w:val="555555"/>
        </w:rPr>
        <w:t>— Start local development server with Turbopack at http://localhost:3000</w:t>
      </w:r>
    </w:p>
    <w:p>
      <w:pPr>
        <w:pStyle w:val="ListBullet"/>
        <w:spacing w:after="50"/>
      </w:pPr>
      <w:r>
        <w:rPr>
          <w:rFonts w:ascii="Consolas" w:hAnsi="Consolas"/>
          <w:b/>
          <w:color w:val="111111"/>
          <w:sz w:val="20"/>
        </w:rPr>
        <w:t xml:space="preserve">npm run build </w:t>
      </w:r>
      <w:r>
        <w:rPr>
          <w:color w:val="555555"/>
        </w:rPr>
        <w:t>— Generate optimized production build with React Compiler</w:t>
      </w:r>
    </w:p>
    <w:p>
      <w:pPr>
        <w:pStyle w:val="ListBullet"/>
        <w:spacing w:after="50"/>
      </w:pPr>
      <w:r>
        <w:rPr>
          <w:rFonts w:ascii="Consolas" w:hAnsi="Consolas"/>
          <w:b/>
          <w:color w:val="111111"/>
          <w:sz w:val="20"/>
        </w:rPr>
        <w:t xml:space="preserve">npm run start </w:t>
      </w:r>
      <w:r>
        <w:rPr>
          <w:color w:val="555555"/>
        </w:rPr>
        <w:t>— Run production server locally</w:t>
      </w:r>
    </w:p>
    <w:p>
      <w:pPr>
        <w:pStyle w:val="ListBullet"/>
        <w:spacing w:after="50"/>
      </w:pPr>
      <w:r>
        <w:rPr>
          <w:rFonts w:ascii="Consolas" w:hAnsi="Consolas"/>
          <w:b/>
          <w:color w:val="111111"/>
          <w:sz w:val="20"/>
        </w:rPr>
        <w:t xml:space="preserve">npm run lint </w:t>
      </w:r>
      <w:r>
        <w:rPr>
          <w:color w:val="555555"/>
        </w:rPr>
        <w:t>— Run ESLint 9 code quality and accessibility validation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