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Functional Requirements</w:t>
      </w:r>
    </w:p>
    <w:p>
      <w:r>
        <w:t>FR1: The system shall allow a user to upload project documents in PDF, DOCX, CSV and TXT formats.</w:t>
      </w:r>
    </w:p>
    <w:p>
      <w:r>
        <w:t>FR2: The system shall extract text content from each uploaded document.</w:t>
      </w:r>
    </w:p>
    <w:p>
      <w:r>
        <w:t>FR3: The system shall normalize extracted text to remove formatting noise before further processing.</w:t>
      </w:r>
    </w:p>
    <w:p>
      <w:r>
        <w:t>FR4: The system shall split normalized text into overlapping chunks suitable for embedding.</w:t>
      </w:r>
    </w:p>
    <w:p>
      <w:r>
        <w:t>FR5: The system shall generate a numeric embedding for every chunk.</w:t>
      </w:r>
    </w:p>
    <w:p>
      <w:r>
        <w:t>FR6: The system shall store chunk embeddings in a persistent vector index.</w:t>
      </w:r>
    </w:p>
    <w:p>
      <w:r>
        <w:t>FR7: The system shall accept a natural-language query and return the most relevant chunks, ranked by similarity, along with the source filename and chunk position.</w:t>
      </w:r>
    </w:p>
    <w:p>
      <w:r>
        <w:t>FR8: The system shall clearly indicate when no uploaded document contains sufficient information to answer a query, rather than returning an unrelated chunk as if it were an answer.</w:t>
      </w:r>
    </w:p>
    <w:p>
      <w:pPr>
        <w:pStyle w:val="Heading2"/>
      </w:pPr>
      <w:r>
        <w:t>Non-Functional Requirements</w:t>
      </w:r>
    </w:p>
    <w:p>
      <w:r>
        <w:t>NFR1: The embedding and retrieval pipeline shall run entirely on local infrastructure for Milestone 1, without requiring a paid third-party API.</w:t>
      </w:r>
    </w:p>
    <w:p>
      <w:r>
        <w:t>NFR2: The user interface shall present processing status per uploaded file (extracted, chunked, embedded, indexed).</w:t>
      </w:r>
    </w:p>
    <w:p>
      <w:r>
        <w:t>NFR3: The system shall be demonstrable on a single developer laptop without external infrastructure.</w:t>
      </w:r>
    </w:p>
    <w:p>
      <w:r>
        <w:t>NFR4: Source code shall be organized so the RAG pipeline can be reused behind a different user interface in a later milestone.</w:t>
      </w:r>
    </w:p>
    <w:p>
      <w:pPr>
        <w:pStyle w:val="Heading2"/>
      </w:pPr>
      <w:r>
        <w:t>Out of Scope for Milestone 1</w:t>
      </w:r>
    </w:p>
    <w:p>
      <w:r>
        <w:t>Automated project health scoring, delivery date forecasting, a conversational chat assistant, and a multi-project dashboard are explicitly out of scope for Milestone 1 and are planned for later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