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Project Software Requirements</w:t>
      </w:r>
    </w:p>
    <w:p>
      <w:r>
        <w:t>AI Project Intelligence &amp; Risk Advisor</w:t>
      </w:r>
    </w:p>
    <w:p>
      <w:r>
        <w:t>Project AIPI-DEMO-26 | Snapshot 2026-10-07 | Version 1.0</w:t>
      </w:r>
    </w:p>
    <w:p>
      <w:r>
        <w:t>These requirements describe the evidence-driven demonstration baseline and the validation work still to be completed. They preserve the existing unified architecture.</w:t>
      </w:r>
    </w:p>
    <w:p>
      <w:r>
        <w:t>Fictional demo scenario for this application. This dataset is not a record of actual defects, approvals or historical M1-M4 work.</w:t>
      </w:r>
    </w:p>
    <w:p>
      <w:pPr>
        <w:pStyle w:val="Heading1"/>
      </w:pPr>
      <w:r>
        <w:t>Functional requirements</w:t>
      </w:r>
    </w:p>
    <w:p>
      <w:pPr>
        <w:pStyle w:val="Heading2"/>
      </w:pPr>
      <w:r>
        <w:t>REQ-01 Document ingestion</w:t>
      </w:r>
    </w:p>
    <w:p>
      <w:r>
        <w:t>The system shall ingest readable PDF, DOCX, UTF-8 TXT and CSV project documents and retain filename and source location.</w:t>
      </w:r>
    </w:p>
    <w:p>
      <w:pPr>
        <w:pStyle w:val="Heading2"/>
      </w:pPr>
      <w:r>
        <w:t>REQ-02 Existing RAG foundation</w:t>
      </w:r>
    </w:p>
    <w:p>
      <w:r>
        <w:t>Processing shall retain the existing 180-word chunk size, 30-word overlap, WordLlama l2_supercat 256-dimensional embeddings and persistent ChromaDB semantic retrieval.</w:t>
      </w:r>
    </w:p>
    <w:p>
      <w:pPr>
        <w:pStyle w:val="Heading2"/>
      </w:pPr>
      <w:r>
        <w:t>REQ-03 Workspace isolation</w:t>
      </w:r>
    </w:p>
    <w:p>
      <w:r>
        <w:t>Each workspace shall retain its own documents, vector data, analysis and intelligence; opening a fresh workspace shall not reset another workspace.</w:t>
      </w:r>
    </w:p>
    <w:p>
      <w:pPr>
        <w:pStyle w:val="Heading2"/>
      </w:pPr>
      <w:r>
        <w:t>REQ-04 Project analysis</w:t>
      </w:r>
    </w:p>
    <w:p>
      <w:r>
        <w:t>Scope &amp; Deliverables, Risk &amp; Delivery and Blockers &amp; Actions shall review indexed evidence and preserve exact quotations and uncertainty labels.</w:t>
      </w:r>
    </w:p>
    <w:p>
      <w:pPr>
        <w:pStyle w:val="Heading2"/>
      </w:pPr>
      <w:r>
        <w:t>REQ-05 Risk visualization</w:t>
      </w:r>
    </w:p>
    <w:p>
      <w:r>
        <w:t>Every returned risk shall remain visible; source probability and impact determine coordinates only when explicitly stated. Missing dimensions shall remain Not stated.</w:t>
      </w:r>
    </w:p>
    <w:p>
      <w:pPr>
        <w:pStyle w:val="Heading2"/>
      </w:pPr>
      <w:r>
        <w:t>REQ-06 Documentation</w:t>
      </w:r>
    </w:p>
    <w:p>
      <w:r>
        <w:t>User Stories, Risk Register and Action Items shall use ingested project content and provide supporting source references.</w:t>
      </w:r>
    </w:p>
    <w:p>
      <w:pPr>
        <w:pStyle w:val="Heading2"/>
      </w:pPr>
      <w:r>
        <w:t>REQ-07 Project health</w:t>
      </w:r>
    </w:p>
    <w:p>
      <w:r>
        <w:t>The existing deterministic health formula and scope clarity, timeline risk and blocker health dimensions shall be preserved; no score is prescribed by this dataset.</w:t>
      </w:r>
    </w:p>
    <w:p>
      <w:pPr>
        <w:pStyle w:val="Heading2"/>
      </w:pPr>
      <w:r>
        <w:t>REQ-08 Conversational assistant</w:t>
      </w:r>
    </w:p>
    <w:p>
      <w:r>
        <w:t>Project answers and the automatic briefing shall use retrieved evidence; unsupported questions shall receive an insufficient-evidence response.</w:t>
      </w:r>
    </w:p>
    <w:p>
      <w:pPr>
        <w:pStyle w:val="Heading2"/>
      </w:pPr>
      <w:r>
        <w:t>REQ-09 Incremental processing</w:t>
      </w:r>
    </w:p>
    <w:p>
      <w:r>
        <w:t>After a new indexed source, the existing automatic coordinator shall prepare current analysis and intelligence while retaining clearly labeled older results during refresh.</w:t>
      </w:r>
    </w:p>
    <w:p>
      <w:pPr>
        <w:pStyle w:val="Heading2"/>
      </w:pPr>
      <w:r>
        <w:t>REQ-10 Executive dashboard</w:t>
      </w:r>
    </w:p>
    <w:p>
      <w:r>
        <w:t>Overview shall prioritize risk intelligence, then concise health, risks, actions and scope; detailed evidence shall remain accessible on demand.</w:t>
      </w:r>
    </w:p>
    <w:p>
      <w:pPr>
        <w:pStyle w:val="Heading2"/>
      </w:pPr>
      <w:r>
        <w:t>REQ-11 Report export</w:t>
      </w:r>
    </w:p>
    <w:p>
      <w:r>
        <w:t>PDF and Word downloads shall contain available project summaries, risks, blockers, actions, health, insights and source references without inventing missing fields.</w:t>
      </w:r>
    </w:p>
    <w:p>
      <w:pPr>
        <w:pStyle w:val="Heading2"/>
      </w:pPr>
      <w:r>
        <w:t>REQ-12 No-key demonstration</w:t>
      </w:r>
    </w:p>
    <w:p>
      <w:r>
        <w:t>The approved local extractive mode shall remain usable without an external API key; optional provider configuration shall remain separate.</w:t>
      </w:r>
    </w:p>
    <w:p>
      <w:pPr>
        <w:pStyle w:val="Heading2"/>
      </w:pPr>
      <w:r>
        <w:t>REQ-13 Interaction quality</w:t>
      </w:r>
    </w:p>
    <w:p>
      <w:r>
        <w:t>The interface shall preserve keyboard operation, dark/light themes, reduced motion, workspace restoration, retry controls and temporary notifications.</w:t>
      </w:r>
    </w:p>
    <w:p>
      <w:pPr>
        <w:pStyle w:val="Heading1"/>
      </w:pPr>
      <w:r>
        <w:t>Evidence supported user stories</w:t>
      </w:r>
    </w:p>
    <w:p>
      <w:r>
        <w:t>US-01: As a project reviewer, I want to upload PDF, DOCX, TXT and CSV sources, so that the same project evidence can support every review; Acceptance criteria: Each readable source exposes its filename and location.</w:t>
        <w:br/>
        <w:t>US-02: As a project coordinator, I want to review all returned risks, so that missing ratings are visible without invented coordinates; Acceptance criteria: Unspecified probability or impact is displayed as Not stated.</w:t>
        <w:br/>
        <w:t>US-03: As a mentor, I want to inspect a finding's source quotation, so that the project claim can be checked; Acceptance criteria: Every available reference opens the exact source text.</w:t>
        <w:br/>
        <w:t>US-04: As a project reviewer, I want to download the project report as PDF or Word, so that I can review the current evidence offline; Acceptance criteria: Available source references and uncertainty labels are retained.</w:t>
      </w:r>
    </w:p>
    <w:p>
      <w:pPr>
        <w:pStyle w:val="Heading1"/>
      </w:pPr>
      <w:r>
        <w:t>Data and review conventions</w:t>
      </w:r>
    </w:p>
    <w:p>
      <w:r>
        <w:t>Probability and likelihood refer to the same source field. Medium is a source synonym of Moderate in this dataset. Impact and severity are separately stated assessments; severity must not be recalculated from probability and impact.</w:t>
      </w:r>
    </w:p>
    <w:p>
      <w:r>
        <w:t>Risk IDs R-01 through R-09 name the nine scenario records. Task IDs T-01 through T-18 identify work. Risk due dates are mitigation targets, not predictions of when a risk occurs. Owners and dates marked Not stated must remain unknown.</w:t>
      </w:r>
    </w:p>
    <w:p>
      <w:r>
        <w:t>Risk, health and assistant outputs must stay scoped to the selected workspace. Incremental uploads may make old results stale; retries must not replace newer results with late responses.</w:t>
      </w:r>
    </w:p>
    <w:p>
      <w:r>
        <w:t>No overall health number, delivery probability or new test-pass metric is specified here. The application calculates health using its unchanged formula from the retrieved evidence.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AIPI-DEMO-26 | Fictional demo scenario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