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脚注尾注格式软件演示</w:t>
      </w:r>
      <w:bookmarkStart w:id="1" w:name="note_target"/>
      <w:bookmarkEnd w:id="1"/>
    </w:p>
    <w:p>
      <w:pPr>
        <w:ind w:firstLineChars="200" w:firstLine="0"/>
      </w:pPr>
      <w:r>
        <w:t>脱敏合成论文，仅用于软件演示。自动编号由Word脚注尾注对象生成，不改写解释内容。</w:t>
      </w:r>
    </w:p>
    <w:p>
      <w:r>
        <w:t>正文第一处引用脚注一</w:t>
      </w:r>
      <w:r>
        <w:footnoteReference w:id="1"/>
      </w:r>
      <w:r>
        <w:t>，并引用脚注二</w:t>
      </w:r>
      <w:r>
        <w:footnoteReference w:id="2"/>
      </w:r>
    </w:p>
    <w:p>
      <w:r>
        <w:t>正文第二处引用脚注三与尾注一、二。</w:t>
      </w:r>
      <w:r>
        <w:footnoteReference w:id="3"/>
      </w:r>
      <w:r>
        <w:endnoteReference w:id="1"/>
      </w:r>
      <w:r>
        <w:endnoteReference w:id="2"/>
      </w:r>
    </w:p>
    <w:p>
      <w:r>
        <w:t>正文第三处引用尾注三，后续图片和表格保持。</w:t>
      </w:r>
      <w:r>
        <w:endnoteReference w:id="3"/>
      </w:r>
    </w:p>
    <w:p>
      <w:r>
        <w:drawing>
          <wp:inline xmlns:a="http://schemas.openxmlformats.org/drawingml/2006/main" xmlns:pic="http://schemas.openxmlformats.org/drawingml/2006/picture">
            <wp:extent cx="1008000" cy="2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25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姓名：合成同学</w:t>
            </w:r>
          </w:p>
        </w:tc>
        <w:tc>
          <w:tcPr>
            <w:tcW w:type="dxa" w:w="4536"/>
          </w:tcPr>
          <w:p>
            <w:r>
              <w:t>学号：20260001234</w:t>
            </w:r>
          </w:p>
        </w:tc>
      </w:tr>
      <w:tr>
        <w:tc>
          <w:tcPr>
            <w:tcW w:type="dxa" w:w="4536"/>
          </w:tcPr>
          <w:p>
            <w:r>
              <w:t>学院：合成学院</w:t>
            </w:r>
          </w:p>
        </w:tc>
        <w:tc>
          <w:tcPr>
            <w:tcW w:type="dxa" w:w="4536"/>
          </w:tcPr>
          <w:p>
            <w:r>
              <w:t>指导教师：示例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</w:t>
            </w:r>
          </w:p>
        </w:tc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耗时（秒）</w:t>
            </w:r>
          </w:p>
        </w:tc>
      </w:tr>
      <w:tr>
        <w:tc>
          <w:tcPr>
            <w:tcW w:type="dxa" w:w="4536"/>
          </w:tcPr>
          <w:p>
            <w:r>
              <w:rPr>
                <w:rFonts w:eastAsia="宋体"/>
                <w:sz w:val="21"/>
              </w:rPr>
              <w:t>方案甲</w:t>
            </w:r>
          </w:p>
        </w:tc>
        <w:tc>
          <w:tcPr>
            <w:tcW w:type="dxa" w:w="4536"/>
          </w:tcPr>
          <w:p>
            <w:r>
              <w:rPr>
                <w:rFonts w:eastAsia="楷体"/>
                <w:sz w:val="21"/>
              </w:rPr>
              <w:t>12</w:t>
            </w:r>
          </w:p>
        </w:tc>
      </w:tr>
    </w:tbl>
    <w:tbl>
      <w:tblPr>
        <w:tblW w:type="dxa" w:w="6803"/>
        <w:tblLayout w:type="fixed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6803"/>
          </w:tcPr>
          <w:p>
            <w:pPr>
              <w:spacing w:line="240" w:lineRule="auto"/>
              <w:ind w:firstLine="0"/>
            </w:pPr>
            <w:r>
              <w:t>合成数据1-1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6803"/>
            </w:tblGrid>
            <w:tr>
              <w:tc>
                <w:tcPr>
                  <w:tcW w:type="dxa" w:w="6803"/>
                </w:tcPr>
                <w:p>
                  <w:r>
                    <w:t>嵌套软件演示</w:t>
                  </w:r>
                </w:p>
              </w:tc>
            </w:tr>
          </w:tbl>
          <w:p/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尾注一前段正常，</w:t>
      </w:r>
      <w:r>
        <w:rPr>
          <w:rFonts w:ascii="Times New Roman" w:hAnsi="Times New Roman" w:eastAsia="宋体"/>
          <w:sz w:val="24"/>
        </w:rPr>
        <w:t xml:space="preserve">后段字号单独核对。</w:t>
      </w:r>
    </w:p>
  </w:endnote>
  <w:endnote w:id="2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尾注二第一段正常。</w:t>
      </w:r>
    </w:p>
    <w:p>
      <w:pPr>
        <w:pStyle w:val="EndnoteText"/>
        <w:spacing w:line="360" w:lineRule="auto"/>
      </w:pPr>
      <w:r>
        <w:rPr>
          <w:rFonts w:ascii="Times New Roman" w:hAnsi="Times New Roman" w:eastAsia="宋体"/>
          <w:sz w:val="24"/>
        </w:rPr>
        <w:t xml:space="preserve">第二段普通文字保留。</w:t>
      </w:r>
    </w:p>
  </w:endnote>
  <w:endnote w:id="3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尾注三普通文字，链接保持：</w:t>
      </w:r>
      <w:hyperlink w:anchor="note_target">
        <w:r>
          <w:rPr>
            <w:rFonts w:ascii="Times New Roman" w:hAnsi="Times New Roman" w:eastAsia="宋体"/>
            <w:sz w:val="24"/>
          </w:rPr>
          <w:t xml:space="preserve">跳转到软件样本标题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脚注一前段正常，</w:t>
      </w:r>
      <w:r>
        <w:rPr>
          <w:rFonts w:ascii="Times New Roman" w:hAnsi="Times New Roman" w:eastAsia="宋体"/>
          <w:sz w:val="24"/>
        </w:rPr>
        <w:t xml:space="preserve">后半段字体和字号单独核对。</w:t>
      </w:r>
    </w:p>
  </w:footnote>
  <w:footnote w:id="2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Style w:val="DemoNoteWrong"/>
          <w:rFonts w:eastAsia="宋体"/>
          <w:sz w:val="24"/>
        </w:rPr>
        <w:t xml:space="preserve"> 脚注二字符样式继承的普通文字。</w:t>
      </w:r>
    </w:p>
  </w:footnote>
  <w:footnote w:id="3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脚注三已正确，标记及内容保持。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FootnoteReference">
    <w:name w:val="Footnote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EndnoteReference">
    <w:name w:val="EndnoteReference"/>
    <w:basedOn w:val="DefaultParagraphFont"/>
    <w:rPr>
      <w:vertAlign w:val="superscript"/>
    </w:rPr>
  </w:style>
  <w:style w:type="character" w:styleId="DemoNoteWrong">
    <w:name w:val="DemoNoteWrong"/>
    <w:basedOn w:val="DefaultParagraphFont"/>
    <w:rPr>
      <w:rFonts w:eastAsia="楷体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Demofootnote" Type="http://schemas.openxmlformats.org/officeDocument/2006/relationships/footnotes" Target="footnotes.xml"/><Relationship Id="rIdDemoendnote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