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  <w:spacing w:line="360" w:lineRule="auto"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rPr>
          <w:sz w:val="24"/>
        </w:rPr>
        <w:t>目录 — 前置第二页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合成研究</w:t>
      </w:r>
    </w:p>
    <w:p>
      <w:pPr>
        <w:spacing w:line="360" w:lineRule="auto"/>
        <w:ind w:firstLineChars="200" w:firstLine="0"/>
      </w:pPr>
      <w:r>
        <w:rPr>
          <w:sz w:val="24"/>
        </w:rPr>
        <w:t>依据图1-2和图2-3核对纯文本引用。</w:t>
      </w:r>
    </w:p>
    <w:p>
      <w:r>
        <w:t>图1-2 合成曲线</w:t>
      </w:r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第二章第一页 — 不应重新从1编号。</w:t>
      </w:r>
    </w:p>
    <w:p>
      <w:r>
        <w:t>图2-3 合成结果曲线</w:t>
      </w:r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