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脚注尾注格式软件演示</w:t>
      </w:r>
      <w:bookmarkStart w:id="1" w:name="note_target"/>
      <w:bookmarkEnd w:id="1"/>
    </w:p>
    <w:p>
      <w:r>
        <w:t>脱敏合成论文，仅用于软件演示。自动编号由Word脚注尾注对象生成，不改写解释内容。</w:t>
      </w:r>
    </w:p>
    <w:p>
      <w:r>
        <w:t>正文第一处引用脚注一</w:t>
      </w:r>
      <w:r>
        <w:footnoteReference w:id="1"/>
      </w:r>
      <w:r>
        <w:t>，并引用脚注二</w:t>
      </w:r>
      <w:r>
        <w:footnoteReference w:id="2"/>
      </w:r>
    </w:p>
    <w:p>
      <w:r>
        <w:t>正文第二处引用脚注三与尾注一、二。</w:t>
      </w:r>
      <w:r>
        <w:footnoteReference w:id="3"/>
      </w:r>
      <w:r>
        <w:endnoteReference w:id="1"/>
      </w:r>
      <w:r>
        <w:endnoteReference w:id="2"/>
      </w:r>
    </w:p>
    <w:p>
      <w:r>
        <w:t>正文第三处引用尾注三，后续图片和表格保持。</w:t>
      </w:r>
      <w:r>
        <w:endnoteReference w:id="3"/>
      </w:r>
    </w:p>
    <w:p>
      <w:r>
        <w:drawing>
          <wp:inline xmlns:a="http://schemas.openxmlformats.org/drawingml/2006/main" xmlns:pic="http://schemas.openxmlformats.org/drawingml/2006/picture">
            <wp:extent cx="1008000" cy="2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8000" cy="25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姓名：合成同学</w:t>
            </w:r>
          </w:p>
        </w:tc>
        <w:tc>
          <w:tcPr>
            <w:tcW w:type="dxa" w:w="4536"/>
          </w:tcPr>
          <w:p>
            <w:r>
              <w:t>学号：20260001234</w:t>
            </w:r>
          </w:p>
        </w:tc>
      </w:tr>
      <w:tr>
        <w:tc>
          <w:tcPr>
            <w:tcW w:type="dxa" w:w="4536"/>
          </w:tcPr>
          <w:p>
            <w:r>
              <w:t>学院：合成学院</w:t>
            </w:r>
          </w:p>
        </w:tc>
        <w:tc>
          <w:tcPr>
            <w:tcW w:type="dxa" w:w="4536"/>
          </w:tcPr>
          <w:p>
            <w:r>
              <w:t>指导教师：示例</w:t>
            </w:r>
          </w:p>
        </w:tc>
      </w:tr>
    </w:tbl>
    <w:p>
      <w:r>
        <w:rPr>
          <w:rFonts w:eastAsia="楷体"/>
          <w:sz w:val="28"/>
        </w:rPr>
        <w:t>1 实验设计</w:t>
      </w:r>
    </w:p>
    <w:p>
      <w:r>
        <w:rPr>
          <w:rFonts w:eastAsia="楷体"/>
          <w:sz w:val="32"/>
        </w:rPr>
        <w:t>本节比较两种算法在同一公开测试集上的运行时间和准确率，下面的数据用于呈现实验对比结果。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</w:tblGrid>
      <w:tr>
        <w:tc>
          <w:p>
            <w:r>
              <w:rPr>
                <w:rFonts w:eastAsia="楷体"/>
                <w:sz w:val="28"/>
              </w:rPr>
              <w:t>算法</w:t>
            </w:r>
          </w:p>
        </w:tc>
        <w:tc>
          <w:p>
            <w:r>
              <w:rPr>
                <w:rFonts w:eastAsia="楷体"/>
                <w:sz w:val="28"/>
              </w:rPr>
              <w:t>运行时间（秒）</w:t>
            </w:r>
          </w:p>
        </w:tc>
        <w:tc>
          <w:p>
            <w:r>
              <w:rPr>
                <w:rFonts w:eastAsia="楷体"/>
                <w:sz w:val="28"/>
              </w:rPr>
              <w:t>准确率（%）</w:t>
            </w:r>
          </w:p>
        </w:tc>
      </w:tr>
      <w:tr>
        <w:tc>
          <w:p>
            <w:r>
              <w:rPr>
                <w:rFonts w:eastAsia="楷体"/>
                <w:sz w:val="28"/>
              </w:rPr>
              <w:t>基线方法</w:t>
            </w:r>
          </w:p>
        </w:tc>
        <w:tc>
          <w:p>
            <w:r>
              <w:rPr>
                <w:rFonts w:eastAsia="楷体"/>
                <w:sz w:val="28"/>
              </w:rPr>
              <w:t>12.8</w:t>
            </w:r>
          </w:p>
        </w:tc>
        <w:tc>
          <w:p>
            <w:r>
              <w:rPr>
                <w:rFonts w:eastAsia="楷体"/>
                <w:sz w:val="28"/>
              </w:rPr>
              <w:t>87.1</w:t>
            </w:r>
          </w:p>
        </w:tc>
      </w:tr>
      <w:tr>
        <w:tc>
          <w:p>
            <w:r>
              <w:rPr>
                <w:rFonts w:eastAsia="楷体"/>
                <w:sz w:val="28"/>
              </w:rPr>
              <w:t>改进方法</w:t>
            </w:r>
          </w:p>
        </w:tc>
        <w:tc>
          <w:p>
            <w:r>
              <w:rPr>
                <w:rFonts w:eastAsia="楷体"/>
                <w:sz w:val="28"/>
              </w:rPr>
              <w:t>9.4</w:t>
            </w:r>
          </w:p>
        </w:tc>
        <w:tc>
          <w:p>
            <w:r>
              <w:rPr>
                <w:rFonts w:eastAsia="楷体"/>
                <w:sz w:val="28"/>
              </w:rPr>
              <w:t>90.5</w:t>
            </w:r>
          </w:p>
        </w:tc>
      </w:tr>
    </w:tbl>
    <w:tbl>
      <w:tblPr>
        <w:tblW w:type="dxa" w:w="6803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</w:tcPr>
          <w:p>
            <w:pPr>
              <w:spacing w:line="240" w:lineRule="auto"/>
              <w:ind w:firstLine="0"/>
            </w:pPr>
            <w:r>
              <w:t>合成数据1-1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6803"/>
            </w:tblGrid>
            <w:tr>
              <w:tc>
                <w:tcPr>
                  <w:tcW w:type="dxa" w:w="6803"/>
                </w:tcPr>
                <w:p>
                  <w:r>
                    <w:t>嵌套软件演示</w:t>
                  </w:r>
                </w:p>
              </w:tc>
            </w:tr>
          </w:tbl>
          <w:p/>
        </w:tc>
      </w:tr>
    </w:tbl>
    <w:p>
      <w:r>
        <w:rPr>
          <w:rFonts w:eastAsia="楷体"/>
          <w:sz w:val="28"/>
        </w:rPr>
        <w:t>结果解读</w:t>
      </w:r>
    </w:p>
    <w:p>
      <w:r>
        <w:rPr>
          <w:rFonts w:eastAsia="楷体"/>
          <w:sz w:val="32"/>
        </w:rPr>
        <w:t>从上述对比可见，改进方法在保持准确率的同时降低了运行时间，这里仅作合成数据的格式验收。</w:t>
      </w:r>
    </w:p>
    <w:p>
      <w:r>
        <w:rPr>
          <w:rFonts w:eastAsia="楷体"/>
          <w:sz w:val="28"/>
        </w:rPr>
        <w:t>2 其他材料</w:t>
      </w:r>
    </w:p>
    <w:p>
      <w:r>
        <w:rPr>
          <w:rFonts w:eastAsia="楷体"/>
          <w:sz w:val="32"/>
        </w:rPr>
        <w:t>下面两列记录的用途尚未确定，不能仅凭作者预期判断它是论文内容表还是排版占位。</w:t>
      </w:r>
    </w:p>
    <w:tbl>
      <w:tblPr/>
      <w:tblGrid>
        <w:gridCol w:w="2000"/>
        <w:gridCol w:w="2000"/>
      </w:tblGrid>
      <w:tr>
        <w:tc>
          <w:p>
            <w:r>
              <w:rPr>
                <w:rFonts w:eastAsia="楷体"/>
                <w:sz w:val="32"/>
              </w:rPr>
              <w:t>甲</w:t>
            </w:r>
          </w:p>
        </w:tc>
        <w:tc>
          <w:p>
            <w:r>
              <w:rPr>
                <w:rFonts w:eastAsia="楷体"/>
                <w:sz w:val="32"/>
              </w:rPr>
              <w:t>乙</w:t>
            </w:r>
          </w:p>
        </w:tc>
      </w:tr>
    </w:tbl>
    <w:tbl>
      <w:tblPr/>
      <w:tblGrid>
        <w:gridCol w:w="2000"/>
        <w:gridCol w:w="2000"/>
      </w:tblGrid>
      <w:tr>
        <w:tc>
          <w:p>
            <w:r>
              <w:rPr>
                <w:rFonts w:eastAsia="楷体"/>
                <w:sz w:val="32"/>
              </w:rPr>
              <w:t>print(data)</w:t>
            </w:r>
          </w:p>
        </w:tc>
        <w:tc>
          <w:p>
            <w:r>
              <w:rPr>
                <w:rFonts w:eastAsia="楷体"/>
                <w:sz w:val="32"/>
              </w:rPr>
              <w:t>乙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  <w:spacing w:line="48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尾注一前段正常，</w:t>
      </w:r>
      <w:r>
        <w:rPr>
          <w:rFonts w:ascii="Times New Roman" w:hAnsi="Times New Roman" w:eastAsia="宋体"/>
          <w:sz w:val="32"/>
        </w:rPr>
        <w:t xml:space="preserve">后段字号单独核对。</w:t>
      </w:r>
    </w:p>
  </w:endnote>
  <w:endnote w:id="2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尾注二第一段正常。</w:t>
      </w:r>
    </w:p>
    <w:p>
      <w:pPr>
        <w:pStyle w:val="EndnoteText"/>
        <w:spacing w:line="400" w:lineRule="atLeast"/>
      </w:pPr>
      <w:r>
        <w:rPr>
          <w:rFonts w:ascii="Times New Roman" w:hAnsi="Times New Roman" w:eastAsia="宋体"/>
          <w:sz w:val="24"/>
        </w:rPr>
        <w:t xml:space="preserve">第二段普通文字保留。</w:t>
      </w:r>
    </w:p>
  </w:endnote>
  <w:endnote w:id="3">
    <w:p>
      <w:pPr>
        <w:pStyle w:val="EndnoteText"/>
        <w:spacing w:line="360" w:lineRule="auto"/>
      </w:pPr>
      <w:r>
        <w:rPr>
          <w:rStyle w:val="EndnoteReference"/>
        </w:rPr>
        <w:endnoteRef/>
      </w:r>
      <w:r>
        <w:rPr>
          <w:rFonts w:ascii="Times New Roman" w:hAnsi="Times New Roman" w:eastAsia="宋体"/>
          <w:sz w:val="24"/>
        </w:rPr>
        <w:t xml:space="preserve"> 尾注三普通文字，链接保持：</w:t>
      </w:r>
      <w:hyperlink w:anchor="note_target">
        <w:r>
          <w:rPr>
            <w:rFonts w:ascii="Times New Roman" w:hAnsi="Times New Roman" w:eastAsia="宋体"/>
            <w:sz w:val="24"/>
          </w:rPr>
          <w:t xml:space="preserve">跳转到软件样本标题</w:t>
        </w:r>
      </w:hyperlink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1">
    <w:p>
      <w:pPr>
        <w:pStyle w:val="FootnoteText"/>
        <w:spacing w:line="400" w:lineRule="exact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脚注一前段正常，</w:t>
      </w:r>
      <w:r>
        <w:rPr>
          <w:rFonts w:ascii="Times New Roman" w:hAnsi="Times New Roman" w:eastAsia="黑体"/>
          <w:sz w:val="28"/>
        </w:rPr>
        <w:t xml:space="preserve">后半段字体和字号单独核对。</w:t>
      </w:r>
    </w:p>
  </w:footnote>
  <w:footnote w:id="2">
    <w:p>
      <w:pPr>
        <w:pStyle w:val="FootnoteText"/>
        <w:spacing w:line="240" w:lineRule="auto"/>
      </w:pPr>
      <w:r>
        <w:rPr>
          <w:rStyle w:val="FootnoteReference"/>
        </w:rPr>
        <w:footnoteRef/>
      </w:r>
      <w:r>
        <w:rPr>
          <w:rStyle w:val="DemoNoteWrong"/>
        </w:rPr>
        <w:t xml:space="preserve"> 脚注二字符样式继承的普通文字。</w:t>
      </w:r>
    </w:p>
  </w:footnote>
  <w:footnote w:id="3">
    <w:p>
      <w:pPr>
        <w:pStyle w:val="FootnoteText"/>
        <w:spacing w:line="360" w:lineRule="auto"/>
      </w:pPr>
      <w:r>
        <w:rPr>
          <w:rStyle w:val="FootnoteReference"/>
        </w:rPr>
        <w:footnoteRef/>
      </w:r>
      <w:r>
        <w:rPr>
          <w:rFonts w:ascii="Times New Roman" w:hAnsi="Times New Roman" w:eastAsia="宋体"/>
          <w:sz w:val="24"/>
        </w:rPr>
        <w:t xml:space="preserve"> 脚注三已正确，标记及内容保持。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FootnoteReference">
    <w:name w:val="Footnote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pacing w:line="360" w:lineRule="auto"/>
    </w:pPr>
    <w:rPr>
      <w:rFonts w:eastAsia="宋体" w:ascii="Times New Roman" w:hAnsi="Times New Roman"/>
      <w:sz w:val="24"/>
    </w:rPr>
  </w:style>
  <w:style w:type="character" w:styleId="EndnoteReference">
    <w:name w:val="EndnoteReference"/>
    <w:basedOn w:val="DefaultParagraphFont"/>
    <w:rPr>
      <w:vertAlign w:val="superscript"/>
    </w:rPr>
  </w:style>
  <w:style w:type="character" w:styleId="DemoNoteWrong">
    <w:name w:val="DemoNoteWrong"/>
    <w:basedOn w:val="DefaultParagraphFont"/>
    <w:rPr>
      <w:rFonts w:eastAsia="楷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Demofootnote" Type="http://schemas.openxmlformats.org/officeDocument/2006/relationships/footnotes" Target="footnotes.xml"/><Relationship Id="rIdDemoendnot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