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姓名：合成同学</w:t>
            </w:r>
          </w:p>
        </w:tc>
        <w:tc>
          <w:tcPr>
            <w:tcW w:type="dxa" w:w="4536"/>
          </w:tcPr>
          <w:p>
            <w:r>
              <w:t>学号：20260001234</w:t>
            </w:r>
          </w:p>
        </w:tc>
      </w:tr>
      <w:tr>
        <w:tc>
          <w:tcPr>
            <w:tcW w:type="dxa" w:w="4536"/>
          </w:tcPr>
          <w:p>
            <w:r>
              <w:t>学院：合成学院</w:t>
            </w:r>
          </w:p>
        </w:tc>
        <w:tc>
          <w:tcPr>
            <w:tcW w:type="dxa" w:w="4536"/>
          </w:tcPr>
          <w:p>
            <w:r>
              <w:t>指导教师：示例</w:t>
            </w:r>
          </w:p>
        </w:tc>
      </w:tr>
    </w:tbl>
    <w:p>
      <w:pPr>
        <w:pStyle w:val="Heading1"/>
        <w:keepNext w:val="0"/>
        <w:keepLines w:val="0"/>
        <w:spacing w:line="240" w:lineRule="auto" w:before="0" w:afterAutospacing="0" w:afterLines="50" w:after="0"/>
        <w:jc w:val="center"/>
        <w:outlineLvl w:val="0"/>
      </w:pPr>
      <w:r>
        <w:rPr>
          <w:rFonts w:cstheme="minorBidi" w:ascii="Times New Roman" w:hAnsi="Times New Roman" w:eastAsia="黑体"/>
          <w:b w:val="0"/>
          <w:bCs w:val="0"/>
          <w:color w:val="auto"/>
          <w:sz w:val="36"/>
          <w:szCs w:val="22"/>
        </w:rPr>
        <w:t>1 实验设计</w:t>
      </w:r>
    </w:p>
    <w:p>
      <w:pPr>
        <w:ind w:firstLineChars="200" w:firstLine="0"/>
      </w:pPr>
      <w:r>
        <w:rPr>
          <w:rFonts w:eastAsia="宋体"/>
          <w:sz w:val="24"/>
        </w:rPr>
        <w:t>本节比较两种算法在同一公开测试集上的运行时间和准确率，下面的数据用于呈现实验对比结果。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</w:tblGrid>
      <w:tr>
        <w:tc>
          <w:p>
            <w:r>
              <w:rPr>
                <w:rFonts w:eastAsia="宋体"/>
                <w:sz w:val="21"/>
              </w:rPr>
              <w:t>算法</w:t>
            </w:r>
          </w:p>
        </w:tc>
        <w:tc>
          <w:p>
            <w:r>
              <w:rPr>
                <w:rFonts w:eastAsia="宋体"/>
                <w:sz w:val="21"/>
              </w:rPr>
              <w:t>运行时间（秒）</w:t>
            </w:r>
          </w:p>
        </w:tc>
        <w:tc>
          <w:p>
            <w:r>
              <w:rPr>
                <w:rFonts w:eastAsia="宋体"/>
                <w:sz w:val="21"/>
              </w:rPr>
              <w:t>准确率（%）</w:t>
            </w:r>
          </w:p>
        </w:tc>
      </w:tr>
      <w:tr>
        <w:tc>
          <w:p>
            <w:r>
              <w:rPr>
                <w:rFonts w:eastAsia="宋体"/>
                <w:sz w:val="21"/>
              </w:rPr>
              <w:t>基线方法</w:t>
            </w:r>
          </w:p>
        </w:tc>
        <w:tc>
          <w:p>
            <w:r>
              <w:rPr>
                <w:rFonts w:eastAsia="楷体"/>
                <w:sz w:val="21"/>
              </w:rPr>
              <w:t>12.8</w:t>
            </w:r>
          </w:p>
        </w:tc>
        <w:tc>
          <w:p>
            <w:r>
              <w:rPr>
                <w:rFonts w:eastAsia="楷体"/>
                <w:sz w:val="21"/>
              </w:rPr>
              <w:t>87.1</w:t>
            </w:r>
          </w:p>
        </w:tc>
      </w:tr>
      <w:tr>
        <w:tc>
          <w:p>
            <w:r>
              <w:rPr>
                <w:rFonts w:eastAsia="宋体"/>
                <w:sz w:val="21"/>
              </w:rPr>
              <w:t>改进方法</w:t>
            </w:r>
          </w:p>
        </w:tc>
        <w:tc>
          <w:p>
            <w:r>
              <w:rPr>
                <w:rFonts w:eastAsia="楷体"/>
                <w:sz w:val="21"/>
              </w:rPr>
              <w:t>9.4</w:t>
            </w:r>
          </w:p>
        </w:tc>
        <w:tc>
          <w:p>
            <w:r>
              <w:rPr>
                <w:rFonts w:eastAsia="楷体"/>
                <w:sz w:val="21"/>
              </w:rPr>
              <w:t>90.5</w:t>
            </w:r>
          </w:p>
        </w:tc>
      </w:tr>
    </w:tbl>
    <w:tbl>
      <w:tblPr>
        <w:tblW w:type="dxa" w:w="6803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pPr>
              <w:spacing w:line="240" w:lineRule="auto"/>
              <w:ind w:firstLine="0"/>
            </w:pPr>
            <w:r>
              <w:t>合成数据1-1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r>
                    <w:t>嵌套软件演示</w:t>
                  </w:r>
                </w:p>
              </w:tc>
            </w:tr>
          </w:tbl>
          <w:p/>
        </w:tc>
      </w:tr>
    </w:tbl>
    <w:p>
      <w:r>
        <w:rPr>
          <w:rFonts w:eastAsia="楷体"/>
          <w:sz w:val="28"/>
        </w:rPr>
        <w:t>结果解读</w:t>
      </w:r>
    </w:p>
    <w:p>
      <w:pPr>
        <w:ind w:firstLineChars="200" w:firstLine="0"/>
      </w:pPr>
      <w:r>
        <w:rPr>
          <w:rFonts w:eastAsia="宋体"/>
          <w:sz w:val="24"/>
        </w:rPr>
        <w:t>从上述对比可见，改进方法在保持准确率的同时降低了运行时间，这里仅作合成数据的格式验收。</w:t>
      </w:r>
    </w:p>
    <w:p>
      <w:pPr>
        <w:pStyle w:val="Heading1"/>
        <w:keepNext w:val="0"/>
        <w:keepLines w:val="0"/>
        <w:spacing w:line="240" w:lineRule="auto" w:before="0" w:afterAutospacing="0" w:afterLines="50" w:after="0"/>
        <w:jc w:val="center"/>
        <w:outlineLvl w:val="0"/>
      </w:pPr>
      <w:r>
        <w:rPr>
          <w:rFonts w:cstheme="minorBidi" w:ascii="Times New Roman" w:hAnsi="Times New Roman" w:eastAsia="黑体"/>
          <w:b w:val="0"/>
          <w:bCs w:val="0"/>
          <w:color w:val="auto"/>
          <w:sz w:val="36"/>
          <w:szCs w:val="22"/>
        </w:rPr>
        <w:t>2 其他材料</w:t>
      </w:r>
    </w:p>
    <w:p>
      <w:pPr>
        <w:ind w:firstLineChars="200" w:firstLine="0"/>
      </w:pPr>
      <w:r>
        <w:rPr>
          <w:rFonts w:eastAsia="宋体"/>
          <w:sz w:val="24"/>
        </w:rPr>
        <w:t>下面两列记录的用途尚未确定，不能仅凭作者预期判断它是论文内容表还是排版占位。</w:t>
      </w:r>
    </w:p>
    <w:tbl>
      <w:tblPr/>
      <w:tblGrid>
        <w:gridCol w:w="2000"/>
        <w:gridCol w:w="2000"/>
      </w:tblGrid>
      <w:tr>
        <w:tc>
          <w:p>
            <w:r>
              <w:rPr>
                <w:rFonts w:eastAsia="楷体"/>
                <w:sz w:val="32"/>
              </w:rPr>
              <w:t>甲</w:t>
            </w:r>
          </w:p>
        </w:tc>
        <w:tc>
          <w:p>
            <w:r>
              <w:rPr>
                <w:rFonts w:eastAsia="楷体"/>
                <w:sz w:val="32"/>
              </w:rPr>
              <w:t>乙</w:t>
            </w:r>
          </w:p>
        </w:tc>
      </w:tr>
    </w:tbl>
    <w:tbl>
      <w:tblPr/>
      <w:tblGrid>
        <w:gridCol w:w="2000"/>
        <w:gridCol w:w="2000"/>
      </w:tblGrid>
      <w:tr>
        <w:tc>
          <w:p>
            <w:r>
              <w:rPr>
                <w:rFonts w:eastAsia="楷体"/>
                <w:sz w:val="32"/>
              </w:rPr>
              <w:t>print(data)</w:t>
            </w:r>
          </w:p>
        </w:tc>
        <w:tc>
          <w:p>
            <w:r>
              <w:rPr>
                <w:rFonts w:eastAsia="楷体"/>
                <w:sz w:val="32"/>
              </w:rPr>
              <w:t>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Style w:val="DemoNoteWrong"/>
          <w:rFonts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