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 w:val="0"/>
        <w:spacing w:before="0" w:after="160" w:line="240" w:lineRule="auto"/>
      </w:pPr>
      <w:r>
        <w:rPr>
          <w:rFonts w:ascii="Times New Roman" w:hAnsi="Times New Roman" w:eastAsia="黑体"/>
          <w:sz w:val="36"/>
        </w:rPr>
        <w:t>软件演示 标题与正文相邻</w:t>
      </w:r>
    </w:p>
    <w:p>
      <w:pPr>
        <w:keepNext w:val="0"/>
        <w:keepLines w:val="0"/>
        <w:spacing w:before="0" w:after="160" w:line="240" w:lineRule="auto"/>
      </w:pPr>
      <w:r>
        <w:rPr>
          <w:rFonts w:ascii="Times New Roman" w:hAnsi="Times New Roman" w:eastAsia="宋体"/>
          <w:sz w:val="24"/>
        </w:rPr>
        <w:t>脱敏合成案例。自然分页，无手动分页符。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示例叙述第01段：本段用于形成真实的页面空间。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示例叙述第02段：本段用于形成真实的页面空间。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示例叙述第03段：本段用于形成真实的页面空间。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示例叙述第04段：本段用于形成真实的页面空间。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示例叙述第05段：本段用于形成真实的页面空间。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示例叙述第06段：本段用于形成真实的页面空间。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示例叙述第07段：本段用于形成真实的页面空间。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示例叙述第08段：本段用于形成真实的页面空间。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示例叙述第09段：本段用于形成真实的页面空间。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示例叙述第10段：本段用于形成真实的页面空间。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示例叙述第11段：本段用于形成真实的页面空间。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示例叙述第12段：本段用于形成真实的页面空间。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示例叙述第13段：本段用于形成真实的页面空间。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示例叙述第14段：本段用于形成真实的页面空间。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示例叙述第15段：本段用于形成真实的页面空间。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示例叙述第16段：本段用于形成真实的页面空间。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示例叙述第17段：本段用于形成真实的页面空间。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示例叙述第18段：本段用于形成真实的页面空间。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示例叙述第19段：本段用于形成真实的页面空间。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示例叙述第20段：本段用于形成真实的页面空间。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示例叙述第21段：本段用于形成真实的页面空间。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示例叙述第22段：本段用于形成真实的页面空间。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示例叙述第23段：本段用于形成真实的页面空间。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示例叙述第24段：本段用于形成真实的页面空间。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示例叙述第25段：本段用于形成真实的页面空间。</w:t>
      </w:r>
    </w:p>
    <w:p>
      <w:pPr>
        <w:pStyle w:val="Heading1"/>
        <w:keepNext w:val="0"/>
        <w:keepLines w:val="0"/>
        <w:spacing w:before="0" w:after="120" w:line="240" w:lineRule="auto"/>
      </w:pPr>
      <w:r>
        <w:rPr>
          <w:rFonts w:ascii="Times New Roman" w:hAnsi="Times New Roman" w:eastAsia="黑体"/>
          <w:sz w:val="36"/>
        </w:rPr>
        <w:t>1 辅助验证标题</w:t>
      </w:r>
    </w:p>
    <w:p>
      <w:pPr>
        <w:keepNext w:val="0"/>
        <w:keepLines/>
        <w:spacing w:before="0" w:after="0" w:line="360" w:lineRule="auto"/>
      </w:pPr>
      <w:r>
        <w:rPr>
          <w:rFonts w:ascii="Times New Roman" w:hAnsi="Times New Roman" w:eastAsia="宋体"/>
          <w:sz w:val="24"/>
        </w:rPr>
        <w:t>后续正文第一行，说明这是软件演示样本。</w:t>
        <w:br/>
        <w:t>后续正文第二行，保留原本的段落内容。</w:t>
        <w:br/>
        <w:t>后续正文第三行，仅用于真实分页观察。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