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软件演示样本 无真实作者资料 本文用于目录检查与安全修正验证</w:t>
      </w:r>
    </w:p>
    <w:p>
      <w:pPr>
        <w:spacing w:line="240" w:lineRule="auto"/>
        <w:jc w:val="center"/>
      </w:pPr>
      <w:r>
        <w:rPr>
          <w:rFonts w:ascii="Times New Roman" w:hAnsi="Times New Roman" w:eastAsia="黑体"/>
          <w:sz w:val="36"/>
        </w:rPr>
        <w:t>目</w:t>
      </w:r>
      <w:r>
        <w:rPr>
          <w:rFonts w:ascii="Times New Roman" w:hAnsi="Times New Roman" w:eastAsia="黑体"/>
          <w:sz w:val="36"/>
        </w:rPr>
        <w:t>录</w:t>
      </w:r>
    </w:p>
    <w:sdt>
      <w:sdtPr>
        <w:alias w:val="软件演示自动目录"/>
      </w:sdtPr>
      <w:sdtContent>
        <w:p>
          <w:pPr>
            <w:pStyle w:val="TOC1"/>
            <w:spacing w:line="360" w:lineRule="auto"/>
            <w:jc w:val="left"/>
          </w:pPr>
          <w:r>
            <w:fldChar w:fldCharType="begin"/>
          </w:r>
          <w:r>
            <w:instrText xml:space="preserve"> TOC \o "1-3" \h </w:instrText>
          </w:r>
          <w:r>
            <w:fldChar w:fldCharType="separate"/>
          </w:r>
          <w:hyperlink w:anchor="_demo1">
            <w:r>
              <w:rPr>
                <w:rFonts w:ascii="Times New Roman" w:hAnsi="Times New Roman" w:eastAsia="黑体"/>
                <w:sz w:val="28"/>
              </w:rPr>
              <w:t>第一章 演示范围</w:t>
              <w:tab/>
            </w:r>
            <w:r>
              <w:fldChar w:fldCharType="begin"/>
            </w:r>
            <w:r>
              <w:instrText xml:space="preserve"> PAGEREF _demo1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2"/>
            <w:spacing w:line="360" w:lineRule="auto"/>
            <w:jc w:val="left"/>
          </w:pPr>
          <w:hyperlink w:anchor="_demo2">
            <w:r>
              <w:rPr>
                <w:rFonts w:ascii="Times New Roman" w:hAnsi="Times New Roman" w:eastAsia="宋体"/>
                <w:sz w:val="24"/>
              </w:rPr>
              <w:t xml:space="preserve">1.1 </w:t>
            </w:r>
            <w:r>
              <w:rPr>
                <w:rFonts w:ascii="Times New Roman" w:hAnsi="Times New Roman" w:eastAsia="宋体"/>
                <w:sz w:val="24"/>
              </w:rPr>
              <w:t>可验证流程</w:t>
            </w:r>
            <w:r>
              <w:rPr>
                <w:rFonts w:ascii="Times New Roman" w:hAnsi="Times New Roman" w:eastAsia="宋体"/>
                <w:sz w:val="24"/>
              </w:rPr>
              <w:tab/>
            </w:r>
            <w:r>
              <w:fldChar w:fldCharType="begin"/>
            </w:r>
            <w:r>
              <w:instrText xml:space="preserve"> PAGEREF _demo2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3"/>
            <w:spacing w:line="360" w:lineRule="auto"/>
            <w:jc w:val="left"/>
          </w:pPr>
          <w:hyperlink w:anchor="_demo3">
            <w:r>
              <w:rPr>
                <w:rFonts w:ascii="Times New Roman" w:hAnsi="Times New Roman" w:eastAsia="宋体"/>
                <w:sz w:val="24"/>
              </w:rPr>
              <w:t>1.1.1 安全边界</w:t>
              <w:tab/>
            </w:r>
            <w:r>
              <w:fldChar w:fldCharType="begin"/>
            </w:r>
            <w:r>
              <w:instrText xml:space="preserve"> PAGEREF _demo3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  <w:r>
            <w:fldChar w:fldCharType="end"/>
          </w:r>
        </w:p>
      </w:sdtContent>
    </w:sdt>
    <w:p>
      <w:pPr>
        <w:pStyle w:val="Heading1"/>
        <w:spacing w:line="240" w:lineRule="auto"/>
        <w:jc w:val="center"/>
      </w:pPr>
      <w:bookmarkStart w:id="1" w:name="_demo1"/>
      <w:r>
        <w:rPr>
          <w:rFonts w:ascii="Times New Roman" w:hAnsi="Times New Roman" w:eastAsia="黑体"/>
          <w:sz w:val="36"/>
        </w:rPr>
        <w:t>第一章 演示范围</w:t>
      </w:r>
      <w:bookmarkEnd w:id="1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这是一份合成短文。目录文字、制表符和保存页码均需保留。</w:t>
      </w:r>
    </w:p>
    <w:p>
      <w:pPr>
        <w:pStyle w:val="Heading2"/>
        <w:spacing w:line="240" w:lineRule="auto"/>
        <w:jc w:val="left"/>
      </w:pPr>
      <w:bookmarkStart w:id="2" w:name="_demo2"/>
      <w:r>
        <w:rPr>
          <w:rFonts w:ascii="Times New Roman" w:hAnsi="Times New Roman" w:eastAsia="黑体"/>
          <w:sz w:val="30"/>
        </w:rPr>
        <w:t>1.1 可验证流程</w:t>
      </w:r>
      <w:bookmarkEnd w:id="2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选择格式属性后另存副本并重新读取。未选属性与对象保持。</w:t>
      </w:r>
    </w:p>
    <w:p>
      <w:pPr>
        <w:pStyle w:val="Heading3"/>
        <w:spacing w:line="240" w:lineRule="auto"/>
        <w:jc w:val="left"/>
      </w:pPr>
      <w:bookmarkStart w:id="3" w:name="_demo3"/>
      <w:r>
        <w:rPr>
          <w:rFonts w:ascii="Times New Roman" w:hAnsi="Times New Roman" w:eastAsia="黑体"/>
          <w:sz w:val="28"/>
        </w:rPr>
        <w:t>1.1.1 安全边界</w:t>
      </w:r>
      <w:bookmarkEnd w:id="3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自动目录保存结果只读，不刷新域，不推算实际页码。</w:t>
      </w:r>
    </w:p>
    <w:p>
      <w:r>
        <w:t>正文中提到目录1及2026年，并不是目录候选。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步骤</w:t>
            </w:r>
          </w:p>
        </w:tc>
        <w:tc>
          <w:tcPr>
            <w:tcW w:type="dxa" w:w="4536"/>
          </w:tcPr>
          <w:p>
            <w:r>
              <w:t>保护</w:t>
            </w:r>
          </w:p>
        </w:tc>
      </w:tr>
      <w:tr>
        <w:tc>
          <w:tcPr>
            <w:tcW w:type="dxa" w:w="4536"/>
          </w:tcPr>
          <w:p>
            <w:r>
              <w:t>读回复查</w:t>
            </w:r>
          </w:p>
        </w:tc>
        <w:tc>
          <w:tcPr>
            <w:tcW w:type="dxa" w:w="4536"/>
          </w:tcPr>
          <w:p>
            <w:r>
              <w:t>媒体与关系保留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080000" cy="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7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