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表格外侧边框和重复表头软件演示样本</w:t>
      </w:r>
    </w:p>
    <w:p>
      <w:r>
        <w:t>脱敏合成数据，仅用于软件演示。内部竖线、顶部及底部边框应保持；不自动补续表题注。</w:t>
      </w:r>
    </w:p>
    <w:p>
      <w:r>
        <w:t>表1-1 外侧边框对照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double" w:sz="8" w:color="000000"/>
          <w:right w:val="nil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p>
      <w:r>
        <w:t>表1-2 外侧边框对照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doub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p>
      <w:r>
        <w:t>表1-3 外侧边框对照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doub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p>
      <w:r>
        <w:t>表1-4 外侧边框对照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double" w:sz="8" w:color="000000"/>
          <w:right w:val="nil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