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  <w:r>
        <w:footnoteReference w:id="4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32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00" w:lineRule="atLeast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  <w:footnote w:id="2">
    <w:p>
      <w:pPr>
        <w:pStyle w:val="FootnoteText"/>
        <w:spacing w:line="240" w:lineRule="auto"/>
      </w:pPr>
      <w:r>
        <w:rPr>
          <w:rStyle w:val="FootnoteReference"/>
        </w:rPr>
        <w:footnoteRef/>
      </w:r>
      <w:r>
        <w:rPr>
          <w:rStyle w:val="DemoNoteWrong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  <w:footnote w:id="4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复杂域缓存只读。</w:t>
      </w:r>
      <w:r>
        <w:fldChar w:fldCharType="begin"/>
      </w:r>
      <w:r>
        <w:instrText> REF note_target </w:instrText>
      </w:r>
      <w:r>
        <w:fldChar w:fldCharType="separate"/>
      </w:r>
      <w:r>
        <w:rPr>
          <w:rFonts w:ascii="Times New Roman" w:hAnsi="Times New Roman" w:eastAsia="宋体"/>
          <w:sz w:val="24"/>
        </w:rPr>
        <w:t xml:space="preserve">缓存</w:t>
      </w:r>
      <w:r>
        <w:fldChar w:fldCharType="end"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