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 w:eastAsia="宋体"/>
          <w:sz w:val="24"/>
        </w:rPr>
        <w:t>题注编号与位置软件演示样本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 w:eastAsia="宋体"/>
          <w:sz w:val="24"/>
        </w:rPr>
        <w:t>仅含合成内容，编号检查、结构位置和实际同页分别核对。</w:t>
      </w:r>
    </w:p>
    <w:p>
      <w:pPr>
        <w:pStyle w:val="Heading1"/>
        <w:spacing w:line="240" w:lineRule="auto" w:beforeLines="50" w:afterLines="50"/>
        <w:ind w:firstLine="0"/>
        <w:jc w:val="center"/>
      </w:pPr>
      <w:r>
        <w:rPr>
          <w:rFonts w:ascii="Times New Roman" w:hAnsi="Times New Roman" w:eastAsia="黑体"/>
          <w:sz w:val="36"/>
        </w:rPr>
        <w:t>第1章 合成验证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本段用于检查移动后段落定位与未选内容保护。所有图表均为软件演示素材，不含真实论文和作者信息。</w:t>
      </w:r>
    </w:p>
    <w:p>
      <w:pPr>
        <w:spacing w:line="360" w:lineRule="auto" w:before="0" w:after="80"/>
        <w:ind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图1-1 示例曲线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图后说明的编号和正文文字保持，不因题注移动而改变。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表 1-1 示例数据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项目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演示甲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演示乙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</w:tr>
    </w:tbl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重复文字用于验证按对象身份重绑，不按文字匹配。</w:t>
      </w:r>
    </w:p>
    <w:p>
      <w:pPr>
        <w:pStyle w:val="Heading1"/>
        <w:spacing w:line="240" w:lineRule="auto" w:beforeLines="50" w:afterLines="50"/>
        <w:ind w:firstLine="0"/>
        <w:jc w:val="center"/>
      </w:pPr>
      <w:r>
        <w:rPr>
          <w:rFonts w:ascii="Times New Roman" w:hAnsi="Times New Roman" w:eastAsia="黑体"/>
          <w:sz w:val="36"/>
        </w:rPr>
        <w:t>第2章 合成验证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本段用于检查移动后段落定位与未选内容保护。所有图表均为软件演示素材，不含真实论文和作者信息。</w:t>
      </w:r>
    </w:p>
    <w:p>
      <w:pPr>
        <w:spacing w:line="360" w:lineRule="auto" w:before="0" w:after="80"/>
        <w:ind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图2-1 示例曲线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图后说明的编号和正文文字保持，不因题注移动而改变。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表 2-1 示例数据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项目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演示甲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演示乙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</w:tr>
    </w:tbl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重复文字用于验证按对象身份重绑，不按文字匹配。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