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页面宽度软件演示样本</w:t>
      </w:r>
    </w:p>
    <w:p>
      <w:r>
        <w:t>本文件是脱敏合成案例。只验证声明宽度及选项保护，不能证明全文排版合格。</w:t>
      </w:r>
    </w:p>
    <w:p>
      <w:r>
        <w:t>表1 超宽及换行示例（180mm）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r>
              <w:t>项目1-1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项目1-2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项目2-1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项目2-2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项目3-1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项目3-2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项目4-1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项目4-2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项目5-1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项目5-2 这是用于观察换行及行高增长的合成文字，缩小列宽后仍应完整可读。</w:t>
            </w:r>
          </w:p>
        </w:tc>
      </w:tr>
    </w:tbl>
    <w:p>
      <w:r>
        <w:t>表2 正常表格（100mm，不应修改）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</w:tblGrid>
      <w:tr>
        <w:tc>
          <w:tcPr>
            <w:tcW w:type="dxa" w:w="2835"/>
          </w:tcPr>
          <w:p>
            <w:r>
              <w:t>项目1-1 正常对象保留。</w:t>
            </w:r>
          </w:p>
        </w:tc>
        <w:tc>
          <w:tcPr>
            <w:tcW w:type="dxa" w:w="2835"/>
          </w:tcPr>
          <w:p>
            <w:r>
              <w:t>项目1-2 正常对象保留。</w:t>
            </w:r>
          </w:p>
        </w:tc>
      </w:tr>
      <w:tr>
        <w:tc>
          <w:tcPr>
            <w:tcW w:type="dxa" w:w="2835"/>
          </w:tcPr>
          <w:p>
            <w:r>
              <w:t>项目2-1 正常对象保留。</w:t>
            </w:r>
          </w:p>
        </w:tc>
        <w:tc>
          <w:tcPr>
            <w:tcW w:type="dxa" w:w="2835"/>
          </w:tcPr>
          <w:p>
            <w:r>
              <w:t>项目2-2 正常对象保留。</w:t>
            </w:r>
          </w:p>
        </w:tc>
      </w:tr>
    </w:tbl>
    <w:p>
      <w:r>
        <w:t>图1 上方图片为超宽内嵌图（180mm）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上方图片为正常内嵌图（60mm）</w:t>
      </w:r>
    </w:p>
    <w:p>
      <w:r>
        <w:drawing>
          <wp:inline xmlns:a="http://schemas.openxmlformats.org/drawingml/2006/main" xmlns:pic="http://schemas.openxmlformats.org/drawingml/2006/picture">
            <wp:extent cx="216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表3 复杂合并示例（待复核，不强行适配）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0204"/>
            <w:gridSpan w:val="2"/>
          </w:tcPr>
          <w:p>
            <w:r>
              <w:t>项目1-1 合并保留。</w:t>
            </w:r>
          </w:p>
          <w:p>
            <w:r>
              <w:t>项目1-2 合并保留。</w:t>
            </w:r>
          </w:p>
        </w:tc>
      </w:tr>
      <w:tr>
        <w:tc>
          <w:tcPr>
            <w:tcW w:type="dxa" w:w="5102"/>
          </w:tcPr>
          <w:p>
            <w:r>
              <w:t>项目2-1 合并保留。</w:t>
            </w:r>
          </w:p>
        </w:tc>
        <w:tc>
          <w:tcPr>
            <w:tcW w:type="dxa" w:w="5102"/>
          </w:tcPr>
          <w:p>
            <w:r>
              <w:t>项目2-2 合并保留。</w:t>
            </w:r>
          </w:p>
        </w:tc>
      </w:tr>
    </w:tbl>
    <w:sectPr w:rsidR="00FC693F" w:rsidRPr="0006063C" w:rsidSect="00034616">
      <w:pgSz w:w="11906" w:h="16838"/>
      <w:pgMar w:top="1417" w:right="1701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