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分步修正计划软件演示样本</w:t>
      </w:r>
    </w:p>
    <w:p>
      <w:pPr>
        <w:pStyle w:val="Heading1"/>
      </w:pPr>
      <w:r>
        <w:t>1 合成研究</w:t>
      </w:r>
    </w:p>
    <w:p>
      <w:pPr>
        <w:ind w:firstLine="560"/>
      </w:pPr>
      <w:r>
        <w:rPr>
          <w:sz w:val="24"/>
          <w:rFonts w:eastAsia="宋体" w:ascii="Arial" w:hAnsi="Arial"/>
        </w:rPr>
        <w:t xml:space="preserve">普通正文前文 </w:t>
      </w:r>
      <w:r>
        <w:rPr>
          <w:sz w:val="24"/>
        </w:rPr>
        <w:t>[1]</w:t>
      </w:r>
      <w:r>
        <w:rPr>
          <w:sz w:val="24"/>
        </w:rPr>
        <w:t xml:space="preserve"> 与后文保持。再次引用[1]。数组索引[8]不是文献。</w:t>
      </w:r>
    </w:p>
    <w:p>
      <w:r>
        <w:rPr>
          <w:sz w:val="24"/>
          <w:rFonts w:eastAsia="宋体" w:ascii="Arial" w:hAnsi="Arial"/>
        </w:rPr>
        <w:t>第二条引用由多个片段组成</w:t>
      </w:r>
      <w:r>
        <w:rPr>
          <w:vertAlign w:val="superscript"/>
        </w:rPr>
        <w:t>[</w:t>
      </w:r>
      <w:r>
        <w:rPr/>
        <w:t>2</w:t>
      </w:r>
      <w:r>
        <w:rPr/>
        <w:t>]</w:t>
      </w:r>
      <w:r>
        <w:t>。普通文字不改变。</w:t>
      </w:r>
    </w:p>
    <w:p>
      <w:r>
        <w:t>字符样式继承的引用</w:t>
      </w:r>
      <w:r>
        <w:rPr>
          <w:rStyle w:val="CitationSuper"/>
        </w:rPr>
        <w:t>[1]</w:t>
      </w:r>
      <w:r>
        <w:t>，基线样式的引用</w:t>
      </w:r>
      <w:r>
        <w:rPr>
          <w:rStyle w:val="CitationBaseline"/>
        </w:rPr>
        <w:t>[3]</w:t>
      </w:r>
      <w:r>
        <w:t>。</w:t>
      </w:r>
    </w:p>
    <w:p>
      <w:r>
        <w:t>复杂域只读：</w:t>
      </w:r>
      <w:r/>
      <w:fldSimple w:instr=" REF RefOne \h ">
        <w:r>
          <w:t>[1]</w:t>
        </w:r>
      </w:fldSimple>
    </w:p>
    <w:p>
      <w:pPr>
        <w:pStyle w:val="Heading1"/>
      </w:pPr>
      <w:r>
        <w:t>参考文献</w:t>
      </w:r>
    </w:p>
    <w:p>
      <w:r>
        <w:t>[1] 软件演示资料1，合成出版信息，2026。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p>
      <w:r>
        <w:t xml:space="preserve">    result = values[0]</w:t>
        <w:tab/>
        <w:t># 人工排除的合成代码</w:t>
        <w:br/>
        <w:t xml:space="preserve">    print(result)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保持表格</w:t>
            </w:r>
          </w:p>
        </w:tc>
        <w:tc>
          <w:tcPr>
            <w:tcW w:type="dxa" w:w="4536"/>
          </w:tcPr>
          <w:p>
            <w:r>
              <w:t>值</w:t>
            </w:r>
          </w:p>
        </w:tc>
      </w:tr>
      <w:tr>
        <w:tc>
          <w:tcPr>
            <w:tcW w:type="dxa" w:w="4536"/>
          </w:tcPr>
          <w:p>
            <w:r>
              <w:t>合成数据</w:t>
            </w:r>
          </w:p>
        </w:tc>
        <w:tc>
          <w:tcPr>
            <w:tcW w:type="dxa" w:w="4536"/>
          </w:tcPr>
          <w:p>
            <w:r>
              <w:t>28</w:t>
            </w:r>
          </w:p>
        </w:tc>
      </w:tr>
    </w:tbl>
    <w:p>
      <w:r>
        <w:t>下方小图仅验证媒体保留，不作论文插图。</w:t>
      </w:r>
    </w:p>
    <w:p>
      <w:r>
        <w:drawing>
          <wp:inline xmlns:a="http://schemas.openxmlformats.org/drawingml/2006/main" xmlns:pic="http://schemas.openxmlformats.org/drawingml/2006/picture">
            <wp:extent cx="288000" cy="2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