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left"/>
      </w:pPr>
      <w:r>
        <w:rPr>
          <w:rFonts w:ascii="Times New Roman" w:hAnsi="Times New Roman" w:eastAsia="宋体"/>
          <w:sz w:val="40"/>
        </w:rPr>
        <w:t>统一规范工作台软件演示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21"/>
        </w:rPr>
        <w:t>仅用于软件验收　无真实作者资料</w:t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宋体"/>
          <w:sz w:val="32"/>
        </w:rPr>
        <w:t>目录</w:t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宋体"/>
          <w:sz w:val="24"/>
        </w:rPr>
        <w:t>1 统一规则实验</w:t>
        <w:tab/>
        <w:t>1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黑体"/>
          <w:sz w:val="36"/>
        </w:rPr>
        <w:t>中文摘要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楷体"/>
          <w:sz w:val="26"/>
        </w:rPr>
        <w:t>本演示验证一份规范经过一次解析及人工确认后，同时用于不同文档对象。仅包含合成文字，不涉及真实论文或个人资料。</w:t>
      </w:r>
    </w:p>
    <w:p>
      <w:pPr>
        <w:pStyle w:val="Heading1"/>
        <w:spacing w:line="360" w:lineRule="auto" w:before="0" w:after="0"/>
        <w:jc w:val="left"/>
      </w:pPr>
      <w:r>
        <w:rPr>
          <w:rFonts w:ascii="Times New Roman" w:hAnsi="Times New Roman" w:eastAsia="宋体"/>
          <w:sz w:val="32"/>
        </w:rPr>
        <w:t>1 统一规则实验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sz w:val="24"/>
        </w:rPr>
        <w:t>正文用于核对模板、选择修正和落盘复查的实际效果。字号与段落属性分别处理，未选属性保持。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sz w:val="24"/>
        </w:rPr>
        <w:t>以下脚注和尾注用于验证独立部件。</w:t>
      </w:r>
      <w:r>
        <w:footnoteReference w:id="1"/>
      </w:r>
      <w:r>
        <w:footnoteReference w:id="2"/>
      </w:r>
      <w:r>
        <w:footnoteReference w:id="3"/>
      </w:r>
      <w:r>
        <w:endnoteReference w:id="1"/>
      </w:r>
      <w:r>
        <w:endnoteReference w:id="2"/>
      </w:r>
      <w:r>
        <w:endnoteReference w:id="3"/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21"/>
        </w:rPr>
        <w:t>表1-1 合成指标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结果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模块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本机验证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32"/>
        </w:rPr>
        <w:t>附录A 软件说明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楷体"/>
          <w:sz w:val="26"/>
        </w:rPr>
        <w:t>附录普通文字只说明合成运行方法；程序代码另行排除，字体修改不得触及代码空白。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仿宋"/>
          <w:sz w:val="21"/>
        </w:rPr>
        <w:t xml:space="preserve">    result = 1</w:t>
        <w:br/>
        <w:tab/>
        <w:t>print(result)</w:t>
      </w:r>
    </w:p>
    <w:p>
      <w:pPr>
        <w:sectPr>
          <w:headerReference w:type="default" r:id="rId10"/>
          <w:pgSz w:w="11906" w:h="16838"/>
          <w:pgMar w:top="1417" w:right="1417" w:bottom="1417" w:left="1417" w:header="680" w:footer="720" w:gutter="0"/>
          <w:cols w:space="720"/>
          <w:docGrid w:linePitch="360"/>
        </w:sectPr>
      </w:pPr>
    </w:p>
    <w:p>
      <w:r>
        <w:t>参考文献</w:t>
      </w:r>
    </w:p>
    <w:p>
      <w:r>
        <w:t>[1] 软件演示资料，2026。</w:t>
      </w:r>
    </w:p>
    <w:p>
      <w:r>
        <w:t>这是一段仅供软件演示的正文，采用普通手工引文[1]，不涉及真实作者资料。</w:t>
      </w:r>
    </w:p>
    <w:p>
      <w:r>
        <w:drawing>
          <wp:inline xmlns:a="http://schemas.openxmlformats.org/drawingml/2006/main" xmlns:pic="http://schemas.openxmlformats.org/drawingml/2006/picture">
            <wp:extent cx="1260000" cy="3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3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图1-1 软件演示结构</w:t>
      </w:r>
    </w:p>
    <w:sdt>
      <w:sdtPr/>
      <w:sdtContent>
        <w:p>
          <w:pPr>
            <w:pStyle w:val="TOC1"/>
          </w:pPr>
          <w:fldSimple w:instr=" TOC \o &quot;1-3&quot; ">
            <w:r>
              <w:t>1 软件演示章节	1</w:t>
            </w:r>
          </w:fldSimple>
        </w:p>
      </w:sdtContent>
    </w:sdt>
    <w:sectPr w:rsidR="00FC693F" w:rsidRPr="0006063C" w:rsidSect="00034616">
      <w:pgSz w:w="11906" w:h="16838"/>
      <w:pgMar w:top="1417" w:right="1417" w:bottom="1417" w:left="1417" w:header="68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</w:p>
  </w:footnote>
  <w:footnote w:id="2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t>软件演示页眉（合成资料）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