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before="0" w:after="0"/>
        <w:ind w:firstLineChars="100"/>
        <w:jc w:val="left"/>
      </w:pPr>
      <w:r>
        <w:rPr>
          <w:rFonts w:eastAsia="宋体" w:ascii="Times New Roman" w:hAnsi="Times New Roman"/>
          <w:sz w:val="24"/>
        </w:rPr>
        <w:t>1 研究概况</w:t>
      </w:r>
    </w:p>
    <w:p>
      <w:pPr>
        <w:spacing w:line="360" w:lineRule="auto" w:before="0" w:after="0"/>
        <w:ind w:firstLineChars="100"/>
        <w:jc w:val="left"/>
      </w:pPr>
      <w:r>
        <w:rPr>
          <w:rFonts w:eastAsia="宋体" w:ascii="Times New Roman" w:hAnsi="Times New Roman"/>
          <w:sz w:val="24"/>
        </w:rPr>
        <w:t>本段讨论公开合成材料的排版方法，所有文字、空格和编号均须保留。正文以不同的行距和物理首行缩进呈现，作为完整处理的对照。</w:t>
      </w:r>
    </w:p>
    <w:p>
      <w:pPr>
        <w:pStyle w:val="Heading2"/>
        <w:spacing w:line="360" w:lineRule="auto" w:before="0" w:after="0"/>
        <w:ind w:firstLineChars="100"/>
        <w:jc w:val="left"/>
      </w:pPr>
      <w:r>
        <w:rPr>
          <w:rFonts w:eastAsia="宋体" w:ascii="Times New Roman" w:hAnsi="Times New Roman"/>
          <w:sz w:val="24"/>
        </w:rPr>
        <w:t>1.1 研究方法</w:t>
      </w:r>
    </w:p>
    <w:p>
      <w:pPr>
        <w:pStyle w:val="Heading3"/>
        <w:spacing w:line="360" w:lineRule="auto" w:before="0" w:after="0"/>
        <w:ind w:firstLineChars="100"/>
        <w:jc w:val="left"/>
      </w:pPr>
      <w:r>
        <w:rPr>
          <w:rFonts w:eastAsia="宋体" w:ascii="Times New Roman" w:hAnsi="Times New Roman"/>
          <w:sz w:val="24"/>
        </w:rPr>
        <w:t>1.1.1 实施方案</w:t>
      </w:r>
    </w:p>
    <w:p>
      <w:pPr>
        <w:spacing w:line="360" w:lineRule="auto" w:before="0" w:after="0"/>
        <w:ind w:firstLineChars="100"/>
        <w:jc w:val="left"/>
      </w:pPr>
      <w:r>
        <w:rPr>
          <w:rFonts w:eastAsia="宋体" w:ascii="Times New Roman" w:hAnsi="Times New Roman"/>
          <w:sz w:val="24"/>
        </w:rPr>
        <w:t>图1-1 系统结构</w:t>
      </w:r>
    </w:p>
    <w:p>
      <w:pPr>
        <w:spacing w:line="360" w:lineRule="auto" w:before="0" w:after="0"/>
        <w:ind w:firstLineChars="100"/>
        <w:jc w:val="left"/>
      </w:pPr>
      <w:r>
        <w:rPr>
          <w:rFonts w:eastAsia="宋体" w:ascii="Times New Roman" w:hAnsi="Times New Roman"/>
          <w:sz w:val="24"/>
        </w:rPr>
        <w:t>表1-1 实验数据</w:t>
      </w:r>
    </w:p>
    <w:p>
      <w:pPr>
        <w:spacing w:line="360" w:lineRule="auto" w:before="0" w:after="0"/>
        <w:ind w:firstLineChars="100"/>
        <w:jc w:val="left"/>
      </w:pPr>
      <w:r>
        <w:rPr>
          <w:rFonts w:eastAsia="宋体" w:ascii="Times New Roman" w:hAnsi="Times New Roman"/>
          <w:sz w:val="24"/>
        </w:rPr>
        <w:t>本研究摘要使用合成文字说明处理流程，摘要正文应按单独要求排版，不继承论文正文的固定行距和物理缩进。</w:t>
      </w:r>
    </w:p>
    <w:p>
      <w:pPr>
        <w:spacing w:line="360" w:lineRule="auto" w:before="0" w:after="0"/>
        <w:ind w:firstLineChars="100"/>
        <w:jc w:val="left"/>
      </w:pPr>
      <w:r>
        <w:rPr>
          <w:rFonts w:eastAsia="宋体" w:ascii="Times New Roman" w:hAnsi="Times New Roman"/>
          <w:sz w:val="24"/>
        </w:rPr>
        <w:t>This synthetic abstract describes a local formatting workflow. Its text and spacing are independently checked.</w:t>
      </w:r>
    </w:p>
    <w:p>
      <w:pPr>
        <w:spacing w:line="360" w:lineRule="auto" w:before="0" w:after="0"/>
        <w:ind w:firstLineChars="100"/>
        <w:jc w:val="left"/>
      </w:pPr>
      <w:r>
        <w:rPr>
          <w:rFonts w:eastAsia="宋体" w:ascii="Times New Roman" w:hAnsi="Times New Roman"/>
          <w:sz w:val="24"/>
        </w:rPr>
        <w:t>关键词：格式；安全；验证</w:t>
      </w:r>
    </w:p>
    <w:p>
      <w:pPr>
        <w:spacing w:line="360" w:lineRule="auto" w:before="0" w:after="0"/>
        <w:ind w:firstLineChars="100"/>
        <w:jc w:val="left"/>
      </w:pPr>
      <w:r>
        <w:rPr>
          <w:rFonts w:eastAsia="宋体" w:ascii="Times New Roman" w:hAnsi="Times New Roman"/>
          <w:sz w:val="24"/>
        </w:rPr>
        <w:t>[1] 合成作者. 公开的排版试验材料. 2026.</w:t>
      </w:r>
    </w:p>
    <w:p>
      <w:pPr>
        <w:spacing w:line="360" w:lineRule="auto" w:before="0" w:after="0"/>
        <w:ind w:firstLineChars="100"/>
        <w:jc w:val="left"/>
      </w:pPr>
      <w:r>
        <w:rPr>
          <w:rFonts w:eastAsia="宋体" w:ascii="Times New Roman" w:hAnsi="Times New Roman"/>
          <w:sz w:val="24"/>
        </w:rPr>
        <w:t>附录普通文字只描述公开的试验条件，不包括程序代码和数据输出。</w:t>
      </w:r>
    </w:p>
    <w:p>
      <w:pPr>
        <w:spacing w:line="360" w:lineRule="auto" w:before="0" w:after="0"/>
        <w:ind w:firstLineChars="100"/>
        <w:jc w:val="left"/>
      </w:pPr>
      <w:r>
        <w:rPr>
          <w:rFonts w:eastAsia="宋体" w:ascii="Times New Roman" w:hAnsi="Times New Roman"/>
          <w:sz w:val="24"/>
        </w:rPr>
        <w:t>感谢公开软件测试资料的维护者，本段仅供格式验收。</w:t>
      </w:r>
    </w:p>
    <w:p>
      <w:pPr>
        <w:spacing w:line="360" w:lineRule="auto" w:before="0" w:after="0"/>
        <w:ind w:firstLineChars="100"/>
        <w:jc w:val="left"/>
      </w:pPr>
      <w:r>
        <w:rPr>
          <w:rFonts w:eastAsia="宋体" w:ascii="Times New Roman" w:hAnsi="Times New Roman"/>
          <w:sz w:val="24"/>
        </w:rPr>
        <w:t>代码：  x = [1, 2]	# 保持空格</w:t>
      </w:r>
    </w:p>
    <w:p>
      <w:pPr>
        <w:spacing w:line="360" w:lineRule="auto" w:before="0" w:after="0"/>
        <w:ind w:firstLineChars="100"/>
        <w:jc w:val="left"/>
      </w:pPr>
      <w:r>
        <w:rPr>
          <w:rFonts w:eastAsia="宋体" w:ascii="Times New Roman" w:hAnsi="Times New Roman"/>
          <w:sz w:val="24"/>
        </w:rPr>
        <w:t>正文引用的脚注和尾注编号保留。</w:t>
      </w:r>
      <w:r>
        <w:footnoteReference w:id="1"/>
      </w:r>
      <w:r>
        <w:footnoteReference w:id="2"/>
      </w:r>
      <w:r>
        <w:footnoteReference w:id="3"/>
      </w:r>
      <w:r>
        <w:endnoteReference w:id="1"/>
      </w:r>
      <w:r>
        <w:endnoteReference w:id="2"/>
      </w:r>
      <w:r>
        <w:endnoteReference w:id="3"/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pStyle w:val="EndnoteText"/>
        <w:spacing w:line="48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尾注一前段正常，</w:t>
      </w:r>
      <w:r>
        <w:rPr>
          <w:rFonts w:ascii="Times New Roman" w:hAnsi="Times New Roman" w:eastAsia="宋体"/>
          <w:sz w:val="32"/>
        </w:rPr>
        <w:t xml:space="preserve">后段字号单独核对。</w:t>
      </w:r>
    </w:p>
  </w:endnote>
  <w:endnote w:id="2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尾注二第一段正常。</w:t>
      </w:r>
    </w:p>
    <w:p>
      <w:pPr>
        <w:pStyle w:val="EndnoteText"/>
        <w:spacing w:line="400" w:lineRule="atLeast"/>
      </w:pPr>
      <w:r>
        <w:rPr>
          <w:rFonts w:ascii="Times New Roman" w:hAnsi="Times New Roman" w:eastAsia="宋体"/>
          <w:sz w:val="24"/>
        </w:rPr>
        <w:t xml:space="preserve">第二段普通文字保留。</w:t>
      </w:r>
    </w:p>
  </w:endnote>
  <w:endnote w:id="3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尾注三普通文字，链接保持：</w:t>
      </w:r>
      <w:hyperlink w:anchor="note_target">
        <w:r>
          <w:rPr>
            <w:rFonts w:ascii="Times New Roman" w:hAnsi="Times New Roman" w:eastAsia="宋体"/>
            <w:sz w:val="24"/>
          </w:rPr>
          <w:t xml:space="preserve">跳转到软件样本标题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  <w:spacing w:line="400" w:lineRule="exact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脚注一前段正常，</w:t>
      </w:r>
      <w:r>
        <w:rPr>
          <w:rFonts w:ascii="Times New Roman" w:hAnsi="Times New Roman" w:eastAsia="黑体"/>
          <w:sz w:val="28"/>
        </w:rPr>
        <w:t xml:space="preserve">后半段字体和字号单独核对。</w:t>
      </w:r>
    </w:p>
  </w:footnote>
  <w:footnote w:id="2">
    <w:p>
      <w:pPr>
        <w:pStyle w:val="FootnoteText"/>
        <w:spacing w:line="240" w:lineRule="auto"/>
      </w:pPr>
      <w:r>
        <w:rPr>
          <w:rStyle w:val="FootnoteReference"/>
        </w:rPr>
        <w:footnoteRef/>
      </w:r>
      <w:r>
        <w:rPr>
          <w:rStyle w:val="DemoNoteWrong"/>
        </w:rPr>
        <w:t xml:space="preserve"> 脚注二字符样式继承的普通文字。</w:t>
      </w:r>
    </w:p>
  </w:footnote>
  <w:footnote w:id="3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脚注三已正确，标记及内容保持。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FootnoteReference">
    <w:name w:val="Footnote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EndnoteReference">
    <w:name w:val="EndnoteReference"/>
    <w:basedOn w:val="DefaultParagraphFont"/>
    <w:rPr>
      <w:vertAlign w:val="superscript"/>
    </w:rPr>
  </w:style>
  <w:style w:type="character" w:styleId="DemoNoteWrong">
    <w:name w:val="DemoNoteWrong"/>
    <w:basedOn w:val="DefaultParagraphFont"/>
    <w:rPr>
      <w:rFonts w:eastAsia="楷体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Demofootnote" Type="http://schemas.openxmlformats.org/officeDocument/2006/relationships/footnotes" Target="footnotes.xml"/><Relationship Id="rIdDemoendnote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