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r>
        <w:t>封面 — 合成身份表结束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/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合成方法</w:t>
      </w:r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本章介绍公开合成的比较方法，图1-2展示有限样本趋势。以下图表文字保持不变，安全辅助只改变已授权位置和尺寸。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图1-2 合成趋势</w:t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r>
        <w:rPr>
          <w:sz w:val="21"/>
        </w:rPr>
        <w:t>表1-1 合成结果</w:t>
      </w:r>
    </w:p>
    <w:tbl>
      <w:tblPr>
        <w:tblW w:type="dxa" w:w="9978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1"/>
        </w:trPr>
        <w:tc>
          <w:tcPr>
            <w:tcW w:type="dxa" w:w="4989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