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封面 — 公开合成图表论文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姓名</w:t>
            </w:r>
          </w:p>
        </w:tc>
        <w:tc>
          <w:tcPr>
            <w:tcW w:type="dxa" w:w="5553"/>
          </w:tcPr>
          <w:p>
            <w:r>
              <w:t>公开合成作者</w:t>
            </w:r>
          </w:p>
        </w:tc>
      </w:tr>
    </w:tbl>
    <w:p>
      <w:r>
        <w:t>封面 — 合成身份表结束</w:t>
      </w:r>
    </w:p>
    <w:p>
      <w:pPr>
        <w:pageBreakBefore/>
        <w:spacing w:afterAutospacing="0" w:afterLines="50" w:after="0" w:line="240" w:lineRule="auto"/>
      </w:pPr>
      <w:r>
        <w:rPr>
          <w:sz w:val="36"/>
        </w:rPr>
        <w:t>摘要</w:t>
      </w:r>
    </w:p>
    <w:p>
      <w:pPr>
        <w:spacing w:line="360" w:lineRule="auto"/>
      </w:pPr>
      <w:r>
        <w:rPr>
          <w:sz w:val="24"/>
        </w:rPr>
        <w:t>本公开合成论文用于验证图表、分页与目录处理。全部文字和数值均为合成，不含真实论文。</w:t>
      </w:r>
    </w:p>
    <w:p>
      <w:r>
        <w:t>目录</w:t>
      </w:r>
    </w:p>
    <w:p>
      <w:fldSimple w:instr=" TOC \o &quot;1-2&quot; \h ">
        <w:r>
          <w:t>旧目录……99</w:t>
        </w:r>
      </w:fldSimple>
    </w:p>
    <w:p/>
    <w:p>
      <w:pPr>
        <w:pStyle w:val="Heading1"/>
        <w:spacing w:line="240" w:lineRule="auto" w:beforeAutospacing="0" w:beforeLines="50" w:before="0" w:afterAutospacing="0" w:afterLines="50" w:after="0"/>
        <w:jc w:val="center"/>
      </w:pPr>
      <w:r>
        <w:rPr>
          <w:sz w:val="36"/>
        </w:rPr>
        <w:t>第1章 合成方法</w:t>
      </w:r>
    </w:p>
    <w:p>
      <w:pPr>
        <w:spacing w:line="360" w:lineRule="auto"/>
        <w:ind w:firstLineChars="200" w:firstLine="0"/>
      </w:pPr>
      <w:r>
        <w:rPr>
          <w:sz w:val="24"/>
        </w:rPr>
        <w:t>本章介绍公开合成的比较方法，图1-2展示有限样本趋势。以下图表文字保持不变，安全辅助只改变已授权位置和尺寸。</w:t>
      </w:r>
    </w:p>
    <w:p>
      <w:r>
        <w:drawing>
          <wp:inline xmlns:a="http://schemas.openxmlformats.org/drawingml/2006/main" xmlns:pic="http://schemas.openxmlformats.org/drawingml/2006/picture">
            <wp:extent cx="6480000" cy="1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1"/>
        </w:rPr>
        <w:t>图1-2 合成趋势</w:t>
      </w:r>
    </w:p>
    <w:p>
      <w:pPr>
        <w:spacing w:line="360" w:lineRule="auto"/>
        <w:ind w:firstLineChars="200" w:firstLine="0"/>
      </w:pPr>
      <w:r>
        <w:rPr>
          <w:sz w:val="24"/>
        </w:rPr>
        <w:t>图片之后继续叙述，验证未选内容及全部文字保持。这里不会为了适配尺寸删去任何数据或改变图片像素。</w:t>
      </w:r>
    </w:p>
    <w:p>
      <w:r>
        <w:rPr>
          <w:sz w:val="21"/>
        </w:rPr>
        <w:t>表1-1 合成结果</w:t>
      </w:r>
    </w:p>
    <w:tbl>
      <w:tblPr>
        <w:tblW w:type="dxa" w:w="9978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1"/>
        </w:trPr>
        <w:tc>
          <w:tcPr>
            <w:tcW w:type="dxa" w:w="4989"/>
          </w:tcPr>
          <w:p>
            <w:r>
              <w:rPr>
                <w:sz w:val="21"/>
              </w:rPr>
              <w:t>方案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耗时（秒）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11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12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方案3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13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方案4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14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方案5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15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方案6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16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方案7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17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方案8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18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方案9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19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方案10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20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方案11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21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方案12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22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方案13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23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方案14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24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方案15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25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方案16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26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方案17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27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方案18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28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方案19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29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方案20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30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方案21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31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方案22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32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方案23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33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方案24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34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方案25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35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方案26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36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方案27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37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方案28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38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方案29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39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方案30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40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方案31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41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方案32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42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方案33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43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方案34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44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方案35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45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方案36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46 合成测量值，独立保留。</w:t>
            </w:r>
          </w:p>
        </w:tc>
      </w:tr>
    </w:tbl>
    <w:p>
      <w:pPr>
        <w:spacing w:line="360" w:lineRule="auto"/>
        <w:ind w:firstLineChars="200" w:firstLine="0"/>
      </w:pPr>
      <w:r>
        <w:rPr>
          <w:sz w:val="24"/>
        </w:rPr>
        <w:t>表格后保留的叙述段落，不参与任意对象移动。安全重复表头不会生成续表文字或编号。</w:t>
      </w:r>
    </w:p>
    <w:p>
      <w:r>
        <w:rPr>
          <w:sz w:val="21"/>
        </w:rPr>
        <w:t>表1-2 复杂对象保持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11106"/>
            <w:gridSpan w:val="2"/>
          </w:tcPr>
          <w:p>
            <w:r>
              <w:t>合并保护</w:t>
            </w:r>
          </w:p>
        </w:tc>
      </w:tr>
      <w:tr>
        <w:tc>
          <w:tcPr>
            <w:tcW w:type="dxa" w:w="5553"/>
          </w:tcPr>
          <w:p>
            <w:r>
              <w:t>保持</w:t>
            </w:r>
          </w:p>
        </w:tc>
        <w:tc>
          <w:tcPr>
            <w:tcW w:type="dxa" w:w="5553"/>
          </w:tcPr>
          <w:p>
            <w:r>
              <w:t>原样</w:t>
            </w:r>
          </w:p>
        </w:tc>
      </w:tr>
    </w:tbl>
    <w:p>
      <w:pPr>
        <w:spacing w:line="360" w:lineRule="auto"/>
        <w:ind w:firstLineChars="200" w:firstLine="0"/>
      </w:pPr>
      <w:r>
        <w:rPr>
          <w:sz w:val="24"/>
        </w:rPr>
        <w:t>复杂对象之后的普通正文用于验证保留和分节边界。其内容、链接及未选格式不因图表辅助而变化。</w:t>
      </w:r>
    </w:p>
    <w:p>
      <w:pPr>
        <w:pStyle w:val="Heading1"/>
        <w:spacing w:line="240" w:lineRule="auto" w:beforeAutospacing="0" w:beforeLines="50" w:before="0" w:afterAutospacing="0" w:afterLines="50" w:after="0"/>
        <w:jc w:val="center"/>
      </w:pPr>
      <w:r>
        <w:rPr>
          <w:sz w:val="36"/>
        </w:rPr>
        <w:t>第2章 合成结果</w:t>
      </w:r>
    </w:p>
    <w:p>
      <w:pPr>
        <w:spacing w:line="360" w:lineRule="auto"/>
        <w:ind w:firstLineChars="200" w:firstLine="0"/>
      </w:pPr>
      <w:r>
        <w:rPr>
          <w:sz w:val="24"/>
        </w:rPr>
        <w:t>本章为目录和页码引用提供一个明确目标。安全PAGE与PAGEREF是不同类型的域，不能混淆缓存与实际页码。</w:t>
      </w:r>
      <w:bookmarkStart w:id="20" w:name="ResultTarget"/>
      <w:bookmarkEnd w:id="20"/>
    </w:p>
    <w:p>
      <w:r>
        <w:t>引用结果：</w:t>
      </w:r>
      <w:fldSimple w:instr=" PAGEREF ResultTarget \h ">
        <w:r>
          <w:t>99</w:t>
        </w:r>
      </w:fldSimple>
    </w:p>
    <w:p>
      <w:pPr>
        <w:spacing w:line="360" w:lineRule="auto"/>
        <w:ind w:firstLineChars="200" w:firstLine="0"/>
      </w:pPr>
      <w:r>
        <w:rPr>
          <w:sz w:val="24"/>
        </w:rPr>
        <w:t>结尾普通正文保留，所有中间轮次不覆盖原稿。本文为功能验收合成内容，并不代表任何真实论文全部排版合格。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