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黑体"/>
          <w:sz w:val="28"/>
        </w:rPr>
        <w:t>组合[1,3]与重复[1,3]。</w:t>
      </w:r>
    </w:p>
    <w:p>
      <w:r>
        <w:rPr>
          <w:rFonts w:ascii="Times New Roman" w:hAnsi="Times New Roman" w:eastAsia="黑体"/>
          <w:sz w:val="28"/>
        </w:rPr>
        <w:t>区间[</w:t>
      </w:r>
      <w:r>
        <w:rPr>
          <w:rFonts w:ascii="Times New Roman" w:hAnsi="Times New Roman" w:eastAsia="黑体"/>
          <w:sz w:val="28"/>
          <w:vertAlign w:val="superscript"/>
        </w:rPr>
        <w:t>1–</w:t>
      </w:r>
      <w:r>
        <w:rPr>
          <w:rFonts w:ascii="Times New Roman" w:hAnsi="Times New Roman" w:eastAsia="黑体"/>
          <w:sz w:val="28"/>
        </w:rPr>
        <w:t>3]和混合[1-3,5]结束。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>与单引[4]。数组[8]。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