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确认引文上标后的段落属性演示</w:t>
      </w:r>
    </w:p>
    <w:p>
      <w:pPr>
        <w:pStyle w:val="Heading1"/>
      </w:pPr>
      <w:r>
        <w:t>1 合成研究</w:t>
      </w:r>
    </w:p>
    <w:p>
      <w:pPr>
        <w:spacing w:line="360" w:lineRule="auto" w:before="240" w:after="0"/>
        <w:ind w:firstLineChars="100" w:firstLine="0"/>
        <w:jc w:val="left"/>
      </w:pPr>
      <w:r>
        <w:rPr>
          <w:rFonts w:ascii="Times New Roman" w:hAnsi="Times New Roman" w:eastAsia="宋体"/>
          <w:sz w:val="24"/>
        </w:rPr>
        <w:t>已有普通正文</w:t>
      </w:r>
      <w:r>
        <w:rPr>
          <w:rFonts w:ascii="Times New Roman" w:hAnsi="Times New Roman" w:eastAsia="宋体"/>
          <w:sz w:val="18"/>
          <w:vertAlign w:val="superscript"/>
        </w:rPr>
        <w:t>[1]</w:t>
      </w:r>
      <w:r>
        <w:rPr>
          <w:rFonts w:ascii="Times New Roman" w:hAnsi="Times New Roman" w:eastAsia="宋体"/>
          <w:sz w:val="24"/>
        </w:rPr>
        <w:t>继续正文。</w:t>
      </w:r>
    </w:p>
    <w:p>
      <w:pPr>
        <w:spacing w:line="480" w:lineRule="auto" w:before="240" w:after="0"/>
        <w:ind w:firstLine="360"/>
        <w:jc w:val="left"/>
      </w:pPr>
      <w:r>
        <w:rPr>
          <w:rFonts w:ascii="Times New Roman" w:hAnsi="Times New Roman" w:eastAsia="宋体"/>
          <w:sz w:val="24"/>
        </w:rPr>
        <w:t>列表正文</w:t>
      </w:r>
      <w:r>
        <w:rPr>
          <w:rFonts w:ascii="Times New Roman" w:hAnsi="Times New Roman" w:eastAsia="宋体"/>
          <w:sz w:val="16"/>
          <w:vertAlign w:val="superscript"/>
        </w:rPr>
        <w:t>[1,3]</w:t>
      </w:r>
      <w:r>
        <w:rPr>
          <w:rFonts w:ascii="Times New Roman" w:hAnsi="Times New Roman" w:eastAsia="宋体"/>
          <w:sz w:val="24"/>
        </w:rPr>
        <w:t>重复</w:t>
      </w:r>
      <w:r>
        <w:rPr>
          <w:rFonts w:ascii="Times New Roman" w:hAnsi="Times New Roman" w:eastAsia="宋体"/>
          <w:sz w:val="16"/>
          <w:vertAlign w:val="superscript"/>
        </w:rPr>
        <w:t>[1,3]</w:t>
      </w:r>
      <w:r>
        <w:rPr>
          <w:rFonts w:ascii="Times New Roman" w:hAnsi="Times New Roman" w:eastAsia="宋体"/>
          <w:sz w:val="24"/>
        </w:rPr>
        <w:t>跨run</w:t>
      </w:r>
      <w:r>
        <w:rPr>
          <w:rFonts w:ascii="Times New Roman" w:hAnsi="Times New Roman" w:eastAsia="宋体"/>
          <w:sz w:val="18"/>
          <w:vertAlign w:val="superscript"/>
        </w:rPr>
        <w:t>[1–</w:t>
      </w:r>
      <w:r>
        <w:rPr>
          <w:rFonts w:ascii="Times New Roman" w:hAnsi="Times New Roman" w:eastAsia="宋体"/>
          <w:sz w:val="18"/>
          <w:vertAlign w:val="superscript"/>
        </w:rPr>
        <w:t>3,5]</w:t>
      </w:r>
      <w:r>
        <w:rPr>
          <w:rFonts w:ascii="Times New Roman" w:hAnsi="Times New Roman" w:eastAsia="宋体"/>
          <w:sz w:val="24"/>
        </w:rPr>
        <w:t>结束。</w:t>
      </w:r>
    </w:p>
    <w:p>
      <w:pPr>
        <w:spacing w:line="480" w:lineRule="auto" w:before="240" w:after="0"/>
        <w:ind w:firstLineChars="200" w:firstLine="0"/>
        <w:jc w:val="left"/>
      </w:pPr>
      <w:r>
        <w:rPr>
          <w:rFonts w:ascii="Times New Roman" w:hAnsi="Times New Roman" w:eastAsia="宋体"/>
          <w:sz w:val="24"/>
        </w:rPr>
        <w:t>未确认上标正文</w:t>
      </w:r>
      <w:r>
        <w:rPr>
          <w:rFonts w:ascii="Times New Roman" w:hAnsi="Times New Roman" w:eastAsia="宋体"/>
          <w:sz w:val="18"/>
          <w:vertAlign w:val="superscript"/>
        </w:rPr>
        <w:t>[2]</w:t>
      </w:r>
      <w:r>
        <w:rPr>
          <w:rFonts w:ascii="Times New Roman" w:hAnsi="Times New Roman" w:eastAsia="宋体"/>
          <w:sz w:val="24"/>
        </w:rPr>
        <w:t>保留。</w:t>
      </w:r>
    </w:p>
    <w:p>
      <w:pPr>
        <w:spacing w:line="480" w:lineRule="auto" w:before="240" w:after="0"/>
        <w:ind w:firstLineChars="200" w:firstLine="0"/>
        <w:jc w:val="left"/>
      </w:pPr>
      <w:r>
        <w:rPr>
          <w:rFonts w:ascii="Times New Roman" w:hAnsi="Times New Roman" w:eastAsia="宋体"/>
          <w:sz w:val="24"/>
        </w:rPr>
        <w:t>额外上标x</w:t>
      </w:r>
      <w:r>
        <w:rPr>
          <w:rFonts w:ascii="Times New Roman" w:hAnsi="Times New Roman" w:eastAsia="宋体"/>
          <w:sz w:val="20"/>
          <w:vertAlign w:val="superscript"/>
        </w:rPr>
        <w:t>2</w:t>
      </w:r>
      <w:r>
        <w:rPr>
          <w:rFonts w:ascii="Times New Roman" w:hAnsi="Times New Roman" w:eastAsia="宋体"/>
          <w:sz w:val="24"/>
        </w:rPr>
        <w:t>和引文</w:t>
      </w:r>
      <w:r>
        <w:rPr>
          <w:rFonts w:ascii="Times New Roman" w:hAnsi="Times New Roman" w:eastAsia="宋体"/>
          <w:sz w:val="18"/>
          <w:vertAlign w:val="superscript"/>
        </w:rPr>
        <w:t>[1]</w:t>
      </w:r>
    </w:p>
    <w:p>
      <w:pPr>
        <w:spacing w:line="480" w:lineRule="auto" w:before="240" w:after="0"/>
        <w:ind w:firstLine="240"/>
        <w:jc w:val="left"/>
      </w:pPr>
      <w:r>
        <w:rPr>
          <w:rFonts w:ascii="Times New Roman" w:hAnsi="Times New Roman" w:eastAsia="宋体"/>
          <w:sz w:val="18"/>
          <w:vertAlign w:val="superscript"/>
        </w:rPr>
        <w:t>[1]</w:t>
      </w:r>
    </w:p>
    <w:p>
      <w:r>
        <w:t>[1] 软件演示资料1，合成出版信息，2026。</w:t>
      </w:r>
    </w:p>
    <w:p>
      <w:r>
        <w:t>[2] 软件演示资料2，合成出版信息，2026。</w:t>
      </w:r>
    </w:p>
    <w:p>
      <w:r>
        <w:t>[3] 软件演示资料3，合成出版信息，2026。</w:t>
      </w:r>
    </w:p>
    <w:p>
      <w:r>
        <w:t>[4] 软件演示资料4，合成出版信息，2026。</w:t>
      </w:r>
    </w:p>
    <w:p>
      <w:r>
        <w:t>[5] 软件演示资料5，合成出版信息，2026。</w:t>
      </w:r>
    </w:p>
    <w:p>
      <w:r>
        <w:t>[6] 软件演示资料6，合成出版信息，2026。</w:t>
      </w:r>
    </w:p>
    <w:p>
      <w:r>
        <w:t>[7] 软件演示资料7，合成出版信息，2026。</w:t>
      </w:r>
    </w:p>
    <w:p>
      <w:r>
        <w:t>[8] 软件演示资料8，合成出版信息，2026。</w:t>
      </w:r>
    </w:p>
    <w:p>
      <w:r>
        <w:t>[9] 软件演示资料9，合成出版信息，2026。</w:t>
      </w:r>
    </w:p>
    <w:p>
      <w:r>
        <w:t>[10] 软件演示资料10，合成出版信息，2026。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t>对象保留</w:t>
            </w:r>
          </w:p>
        </w:tc>
        <w:tc>
          <w:tcPr>
            <w:tcW w:type="dxa" w:w="4536"/>
          </w:tcPr>
          <w:p/>
        </w:tc>
      </w:tr>
      <w:tr>
        <w:tc>
          <w:tcPr>
            <w:tcW w:type="dxa" w:w="4536"/>
          </w:tcPr>
          <w:p/>
        </w:tc>
        <w:tc>
          <w:tcPr>
            <w:tcW w:type="dxa" w:w="4536"/>
          </w:tcPr>
          <w:p>
            <w:r>
              <w:t>软件演示</w:t>
            </w:r>
          </w:p>
        </w:tc>
      </w:tr>
    </w:tbl>
    <w:p>
      <w:r>
        <w:t xml:space="preserve">    result = values[0]</w:t>
        <w:tab/>
        <w:t># 人工排除的合成代码</w:t>
        <w:br/>
        <w:t xml:space="preserve">    print(result)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t>保持表格</w:t>
            </w:r>
          </w:p>
        </w:tc>
        <w:tc>
          <w:tcPr>
            <w:tcW w:type="dxa" w:w="4536"/>
          </w:tcPr>
          <w:p>
            <w:r>
              <w:t>值</w:t>
            </w:r>
          </w:p>
        </w:tc>
      </w:tr>
      <w:tr>
        <w:tc>
          <w:tcPr>
            <w:tcW w:type="dxa" w:w="4536"/>
          </w:tcPr>
          <w:p>
            <w:r>
              <w:t>合成数据</w:t>
            </w:r>
          </w:p>
        </w:tc>
        <w:tc>
          <w:tcPr>
            <w:tcW w:type="dxa" w:w="4536"/>
          </w:tcPr>
          <w:p>
            <w:r>
              <w:t>28</w:t>
            </w:r>
          </w:p>
        </w:tc>
      </w:tr>
    </w:tbl>
    <w:p>
      <w:r>
        <w:t>下方小图仅验证媒体保留，不作论文插图。</w:t>
      </w:r>
    </w:p>
    <w:p>
      <w:r>
        <w:drawing>
          <wp:inline xmlns:a="http://schemas.openxmlformats.org/drawingml/2006/main" xmlns:pic="http://schemas.openxmlformats.org/drawingml/2006/picture">
            <wp:extent cx="288000" cy="288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8000" cy="288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480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CitationSuper">
    <w:name w:val="CitationSuper"/>
    <w:rPr>
      <w:vertAlign w:val="superscript"/>
    </w:rPr>
  </w:style>
  <w:style w:type="character" w:customStyle="1" w:styleId="CitationBaseline">
    <w:name w:val="CitationBaseline"/>
    <w:rPr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软件演示</dc:creator>
  <cp:keywords/>
  <dc:description>generated by python-docx</dc:description>
  <cp:lastModifiedBy>软件演示</cp:lastModifiedBy>
  <cp:revision>1</cp:revision>
  <dcterms:created xsi:type="dcterms:W3CDTF">2013-12-23T23:15:00Z</dcterms:created>
  <dcterms:modified xsi:type="dcterms:W3CDTF">2013-12-23T23:15:00Z</dcterms:modified>
  <cp:category/>
</cp:coreProperties>
</file>