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论文有格单文档软件演示样本</w:t>
      </w:r>
    </w:p>
    <w:p>
      <w:r>
        <w:t>脱敏合成内容；非正式论文、学校规范或真实参考文献。</w:t>
      </w:r>
    </w:p>
    <w:p>
      <w:pPr>
        <w:spacing w:line="300" w:lineRule="auto" w:beforeAutospacing="0" w:afterAutospacing="0" w:beforeLines="100" w:before="0" w:afterLines="25" w:after="0"/>
        <w:jc w:val="left"/>
        <w:ind w:firstLineChars="0" w:firstLine="0"/>
      </w:pPr>
      <w:r>
        <w:rPr>
          <w:rFonts w:eastAsia="楷体" w:ascii="Times New Roman" w:hAnsi="Times New Roman"/>
          <w:b w:val="0"/>
          <w:sz w:val="40"/>
        </w:rPr>
        <w:t>摘 要</w:t>
      </w:r>
    </w:p>
    <w:p>
      <w:pPr>
        <w:spacing w:beforeAutospacing="0" w:before="120" w:line="480" w:lineRule="auto"/>
        <w:ind w:firstLineChars="100"/>
      </w:pPr>
      <w:r>
        <w:rPr>
          <w:rFonts w:eastAsia="仿宋"/>
          <w:sz w:val="27"/>
        </w:rPr>
        <w:t>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w:t>
      </w:r>
      <w:r>
        <w:rPr>
          <w:rFonts w:eastAsia="仿宋"/>
          <w:sz w:val="27"/>
        </w:rPr>
        <w:t>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w:t>
      </w:r>
    </w:p>
    <w:p>
      <w:pPr>
        <w:spacing w:line="240" w:lineRule="auto"/>
        <w:jc w:val="left"/>
        <w:ind w:firstLineChars="0"/>
      </w:pPr>
      <w:r>
        <w:rPr>
          <w:rFonts w:eastAsia="黑体" w:ascii="Times New Roman" w:hAnsi="Times New Roman"/>
          <w:b w:val="1"/>
          <w:sz w:val="28"/>
        </w:rPr>
        <w:t xml:space="preserve">关</w:t>
      </w:r>
      <w:r>
        <w:rPr>
          <w:rFonts w:eastAsia="黑体" w:ascii="Times New Roman" w:hAnsi="Times New Roman"/>
          <w:b w:val="1"/>
          <w:sz w:val="28"/>
        </w:rPr>
        <w:t xml:space="preserve">键词：</w:t>
      </w:r>
      <w:r>
        <w:rPr>
          <w:rFonts w:eastAsia="楷体" w:ascii="Times New Roman" w:hAnsi="Times New Roman"/>
          <w:sz w:val="24"/>
        </w:rPr>
        <w:t xml:space="preserve">合成文档；格式属性；人工确认</w:t>
      </w:r>
    </w:p>
    <w:p>
      <w:pPr>
        <w:spacing w:line="300" w:lineRule="auto" w:beforeAutospacing="0" w:afterAutospacing="0" w:beforeLines="100" w:before="0" w:afterLines="25" w:after="0"/>
        <w:jc w:val="left"/>
        <w:ind w:firstLineChars="0" w:firstLine="0"/>
      </w:pPr>
      <w:r>
        <w:rPr>
          <w:rFonts w:eastAsia="黑体" w:ascii="Arial" w:hAnsi="Times New Roman"/>
          <w:b w:val="0"/>
          <w:sz w:val="40"/>
        </w:rPr>
        <w:t>Abstract</w:t>
      </w:r>
    </w:p>
    <w:p>
      <w:pPr>
        <w:spacing w:beforeAutospacing="0" w:before="120" w:line="480" w:lineRule="auto"/>
        <w:ind w:firstLineChars="100"/>
        <w:jc w:val="both"/>
      </w:pPr>
      <w:r>
        <w:rPr>
          <w:rFonts w:ascii="Arial"/>
          <w:sz w:val="28"/>
        </w:rPr>
        <w:t xml:space="preserve">This software demonstration checks explicit formatting attributes without rewriting academic content. Synthetic examples keep text, drawings and tables while documenting the selected changes. Synthetic examples keep text, drawings and tables while documenting the selected changes. Synthetic examples keep text, drawings and tables while documenting the selected changes. Synthetic examples keep text, drawings and tables while documenting the selected changes. Synthetic examples keep text, drawings and tables while documenting the selected changes. </w:t>
      </w:r>
    </w:p>
    <w:p>
      <w:pPr>
        <w:spacing w:line="240" w:lineRule="auto"/>
        <w:jc w:val="left"/>
        <w:ind w:firstLineChars="0"/>
      </w:pPr>
      <w:r>
        <w:rPr>
          <w:rFonts w:eastAsia="宋体" w:ascii="Arial" w:hAnsi="Times New Roman"/>
          <w:b/>
          <w:sz w:val="28"/>
        </w:rPr>
        <w:t xml:space="preserve">Keywords: </w:t>
      </w:r>
      <w:r>
        <w:rPr>
          <w:rFonts w:eastAsia="宋体" w:ascii="Arial" w:hAnsi="Times New Roman"/>
          <w:b w:val="0"/>
          <w:sz w:val="24"/>
        </w:rPr>
        <w:t xml:space="preserve">synthetic document; paragraph format; human review</w:t>
      </w:r>
    </w:p>
    <w:p>
      <w:pPr>
        <w:pStyle w:val="Heading1"/>
        <w:spacing w:beforeAutospacing="0" w:beforeLines="100" w:before="0"/>
      </w:pPr>
      <w:r>
        <w:t>第一章 软件演示</w:t>
      </w:r>
    </w:p>
    <w:p>
      <w:pPr>
        <w:spacing w:afterAutospacing="0" w:after="60"/>
      </w:pPr>
      <w:r>
        <w:t>本文使用合成内容验证正文规则；正文提及摘要不应自动变成摘要标题。</w:t>
      </w:r>
    </w:p>
    <w:p>
      <w:pPr>
        <w:pStyle w:val="Heading2"/>
      </w:pPr>
      <w:r>
        <w:t>1.1 普通段落属性</w:t>
      </w:r>
    </w:p>
    <w:p>
      <w:pPr>
        <w:spacing w:afterAutospacing="0" w:after="60"/>
      </w:pPr>
      <w:r>
        <w:t>1.5倍行距是一个格式术语，而不是标题；类型建议仍需用户核对。</w:t>
      </w:r>
    </w:p>
    <w:p>
      <w:pPr>
        <w:pStyle w:val="Heading3"/>
        <w:spacing w:afterAutospacing="0" w:afterLines="25" w:after="0"/>
      </w:pPr>
      <w:r>
        <w:t>1.1.1 安全修正</w:t>
      </w:r>
    </w:p>
    <w:p>
      <w:pPr>
        <w:spacing w:afterAutospacing="0" w:after="60"/>
      </w:pPr>
      <w:r>
        <w:t>2026年是软件演示中的数字句子，未选中的格式和所有正文均应保留。</w:t>
      </w:r>
    </w:p>
    <w:p>
      <w:r>
        <w:drawing>
          <wp:inline xmlns:a="http://schemas.openxmlformats.org/drawingml/2006/main" xmlns:pic="http://schemas.openxmlformats.org/drawingml/2006/picture">
            <wp:extent cx="1980000" cy="49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80000" cy="495000"/>
                    </a:xfrm>
                    <a:prstGeom prst="rect"/>
                  </pic:spPr>
                </pic:pic>
              </a:graphicData>
            </a:graphic>
          </wp:inline>
        </w:drawing>
      </w:r>
    </w:p>
    <w:p>
      <w:pPr>
        <w:pStyle w:val="Caption"/>
      </w:pPr>
      <w:r>
        <w:t>图1-1 软件演示流程</w:t>
      </w:r>
    </w:p>
    <w:p>
      <w:pPr>
        <w:pStyle w:val="Caption"/>
      </w:pPr>
      <w:r>
        <w:t>表1-1 软件演示项目</w:t>
      </w:r>
    </w:p>
    <w:tbl>
      <w:tblPr>
        <w:tblStyle w:val="TableGrid"/>
        <w:tblW w:type="auto" w:w="0"/>
        <w:tblLook w:firstColumn="1" w:firstRow="1" w:lastColumn="0" w:lastRow="0" w:noHBand="0" w:noVBand="1" w:val="04A0"/>
      </w:tblPr>
      <w:tblGrid>
        <w:gridCol w:w="4536"/>
        <w:gridCol w:w="4536"/>
      </w:tblGrid>
      <w:tr>
        <w:tc>
          <w:tcPr>
            <w:tcW w:type="dxa" w:w="4536"/>
          </w:tcPr>
          <w:p>
            <w:r>
              <w:t>项目</w:t>
            </w:r>
          </w:p>
        </w:tc>
        <w:tc>
          <w:tcPr>
            <w:tcW w:type="dxa" w:w="4536"/>
          </w:tcPr>
          <w:p>
            <w:r>
              <w:t>说明</w:t>
            </w:r>
          </w:p>
        </w:tc>
      </w:tr>
      <w:tr>
        <w:tc>
          <w:tcPr>
            <w:tcW w:type="dxa" w:w="4536"/>
          </w:tcPr>
          <w:p>
            <w:r>
              <w:t>格式检查</w:t>
            </w:r>
          </w:p>
        </w:tc>
        <w:tc>
          <w:tcPr>
            <w:tcW w:type="dxa" w:w="4536"/>
          </w:tcPr>
          <w:p>
            <w:r>
              <w:t>保持文本和表格结构</w:t>
            </w:r>
          </w:p>
        </w:tc>
      </w:tr>
    </w:tbl>
    <w:p>
      <w:pPr>
        <w:spacing w:line="300" w:lineRule="auto" w:beforeAutospacing="0" w:afterAutospacing="0" w:beforeLines="100" w:before="0" w:afterLines="25" w:after="0"/>
        <w:jc w:val="left"/>
        <w:ind w:firstLineChars="0" w:firstLine="0"/>
      </w:pPr>
      <w:r>
        <w:rPr>
          <w:rFonts w:eastAsia="宋体" w:ascii="Times New Roman" w:hAnsi="Times New Roman"/>
          <w:b w:val="0"/>
          <w:sz w:val="40"/>
        </w:rPr>
        <w:t>参考文献</w:t>
      </w:r>
    </w:p>
    <w:p>
      <w:pPr>
        <w:pStyle w:val="DemoReference"/>
        <w:spacing w:afterAutospacing="0" w:after="60" w:line="240" w:lineRule="auto"/>
        <w:ind w:firstLineChars="0"/>
      </w:pPr>
      <w:r>
        <w:rPr>
          <w:rFonts w:eastAsia="楷体"/>
          <w:sz w:val="22"/>
        </w:rPr>
        <w:t>[1] 软件演示资料. 合成格式核对说明（虚构条目1）. 2026.</w:t>
      </w:r>
    </w:p>
    <w:p>
      <w:pPr>
        <w:pStyle w:val="DemoReference"/>
        <w:spacing w:afterAutospacing="0" w:after="60" w:line="240" w:lineRule="auto"/>
        <w:ind w:firstLineChars="0"/>
      </w:pPr>
      <w:r>
        <w:rPr>
          <w:rFonts w:eastAsia="楷体"/>
          <w:sz w:val="22"/>
        </w:rPr>
        <w:t>[2] 软件演示资料. 合成格式核对说明（虚构条目2）. 2026.</w:t>
      </w:r>
    </w:p>
    <w:p>
      <w:pPr>
        <w:pStyle w:val="DemoReference"/>
        <w:spacing w:afterAutospacing="0" w:after="60" w:line="240" w:lineRule="auto"/>
        <w:ind w:firstLineChars="0"/>
      </w:pPr>
      <w:r>
        <w:rPr>
          <w:rFonts w:eastAsia="楷体"/>
          <w:sz w:val="22"/>
        </w:rPr>
        <w:t>[3] 软件演示资料. 合成格式核对说明（虚构条目3）. 2026.</w:t>
      </w:r>
    </w:p>
    <w:p>
      <w:pPr>
        <w:spacing w:afterAutospacing="0" w:after="60" w:line="240" w:lineRule="auto"/>
        <w:ind w:firstLineChars="0"/>
      </w:pPr>
      <w:r>
        <w:rPr>
          <w:rFonts w:eastAsia="楷体"/>
          <w:sz w:val="22"/>
        </w:rPr>
        <w:t>[4] 软件演示资料. 合成格式核对说明（虚构条目4）. 2026.</w:t>
      </w:r>
    </w:p>
    <w:p>
      <w:pPr>
        <w:spacing w:afterAutospacing="0" w:after="60" w:line="240" w:lineRule="auto"/>
        <w:ind w:firstLineChars="0"/>
      </w:pPr>
      <w:r>
        <w:rPr>
          <w:rFonts w:eastAsia="楷体"/>
          <w:sz w:val="22"/>
        </w:rPr>
        <w:t>[5] 软件演示资料. 合成格式核对说明（虚构条目5）. 2026.</w:t>
      </w:r>
    </w:p>
    <w:p>
      <w:pPr>
        <w:spacing w:afterAutospacing="0" w:after="60" w:line="240" w:lineRule="auto"/>
        <w:ind w:firstLineChars="0"/>
      </w:pPr>
      <w:r>
        <w:rPr>
          <w:rFonts w:eastAsia="楷体"/>
          <w:sz w:val="22"/>
        </w:rPr>
        <w:t>[6] 软件演示资料. 合成格式核对说明（虚构条目6）. 2026.</w:t>
      </w:r>
    </w:p>
    <w:p>
      <w:pPr>
        <w:spacing w:afterAutospacing="0" w:after="60" w:line="240" w:lineRule="auto"/>
        <w:ind w:firstLineChars="0"/>
      </w:pPr>
      <w:r>
        <w:rPr>
          <w:rFonts w:eastAsia="楷体"/>
          <w:sz w:val="22"/>
        </w:rPr>
        <w:t>[7] 软件演示资料. 合成格式核对说明（虚构条目7）. 2026.</w:t>
      </w:r>
    </w:p>
    <w:p>
      <w:pPr>
        <w:spacing w:afterAutospacing="0" w:after="60" w:line="240" w:lineRule="auto"/>
        <w:ind w:firstLineChars="0"/>
      </w:pPr>
      <w:r>
        <w:rPr>
          <w:rFonts w:eastAsia="楷体"/>
          <w:sz w:val="22"/>
        </w:rPr>
        <w:t>[8] 软件演示资料. 合成格式核对说明（虚构条目8）. 2026.</w:t>
      </w:r>
    </w:p>
    <w:p>
      <w:pPr>
        <w:spacing w:afterAutospacing="0" w:after="60" w:line="240" w:lineRule="auto"/>
        <w:ind w:firstLineChars="0"/>
      </w:pPr>
      <w:r>
        <w:rPr>
          <w:sz w:val="22"/>
        </w:rPr>
        <w:t>[9] Software demonstration. Synthetic reference 9 (fictional). 2026.</w:t>
      </w:r>
    </w:p>
    <w:p>
      <w:pPr>
        <w:spacing w:afterAutospacing="0" w:after="60" w:line="240" w:lineRule="auto"/>
        <w:ind w:firstLineChars="0"/>
      </w:pPr>
      <w:r>
        <w:rPr>
          <w:sz w:val="22"/>
        </w:rPr>
        <w:t>[10] Software demonstration. Synthetic reference 10 (fictional).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ind w:firstLineChars="200"/>
    </w:pPr>
    <w:rPr>
      <w:rFonts w:eastAsia="宋体"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beforeLines="50" w:afterLines="50" w:beforeAutospacing="0" w:afterAutospacing="0"/>
      <w:jc w:val="center"/>
      <w:outlineLvl w:val="0"/>
      <w:ind w:firstLineChars="0" w:firstLine="0"/>
    </w:pPr>
    <w:rPr>
      <w:rFonts w:cstheme="majorBidi" w:eastAsia="黑体" w:ascii="Times New Roman" w:hAnsi="Times New Roman"/>
      <w:b/>
      <w:bCs/>
      <w:color w:val="000000"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beforeLines="50" w:afterLines="50" w:beforeAutospacing="0" w:afterAutospacing="0"/>
      <w:jc w:val="left"/>
      <w:outlineLvl w:val="1"/>
      <w:ind w:firstLineChars="0" w:firstLine="0"/>
    </w:pPr>
    <w:rPr>
      <w:rFonts w:cstheme="majorBidi" w:eastAsia="黑体" w:ascii="Times New Roman" w:hAnsi="Times New Roman"/>
      <w:b/>
      <w:bCs/>
      <w:color w:val="000000" w:themeColor="accent1"/>
      <w:sz w:val="30"/>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beforeLines="50" w:afterLines="50" w:beforeAutospacing="0" w:afterAutospacing="0"/>
      <w:jc w:val="left"/>
      <w:outlineLvl w:val="2"/>
      <w:ind w:firstLineChars="0" w:firstLine="0"/>
    </w:pPr>
    <w:rPr>
      <w:rFonts w:cstheme="majorBidi" w:eastAsia="黑体" w:ascii="Times New Roman" w:hAnsi="Times New Roman"/>
      <w:b/>
      <w:bCs/>
      <w:color w:val="000000"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cstheme="majorBidi" w:eastAsia="黑体"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ind w:firstLineChars="0" w:firstLine="0"/>
    </w:pPr>
    <w:rPr>
      <w:b/>
      <w:bCs/>
      <w:color w:val="4F81BD" w:themeColor="accent1"/>
      <w:sz w:val="21"/>
      <w:szCs w:val="18"/>
      <w:rFonts w:eastAsia="宋体" w:ascii="宋体" w:hAnsi="宋体"/>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Reference">
    <w:name w:val="DemoReference"/>
    <w:basedOn w:val="Normal"/>
    <w:pPr>
      <w:spacing w:line="360" w:lineRule="auto"/>
    </w:pPr>
    <w:rPr>
      <w:rFonts w:eastAsia="宋体"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单文档前后置软件演示</dc:title>
  <dc:subject/>
  <dc:creator>软件演示</dc:creator>
  <cp:keywords/>
  <dc:description>generated by python-docx</dc:description>
  <cp:lastModifiedBy>论文有格</cp:lastModifiedBy>
  <cp:revision>1</cp:revision>
  <dcterms:created xsi:type="dcterms:W3CDTF">2013-12-23T23:15:00Z</dcterms:created>
  <dcterms:modified xsi:type="dcterms:W3CDTF">2013-12-23T23:15:00Z</dcterms:modified>
  <cp:category/>
</cp:coreProperties>
</file>