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Skyline Horizon Towers — Agreement for Sale: Key Terms</w:t>
      </w:r>
    </w:p>
    <w:p>
      <w:pPr>
        <w:pStyle w:val="Heading2"/>
      </w:pPr>
      <w:r>
        <w:t>Definitions</w:t>
      </w:r>
    </w:p>
    <w:p>
      <w:r>
        <w:t>"Allottee" means the person(s) to whom the unit is allotted, sold, or transferred by the Promoter, and includes their legal heirs and permitted assigns.</w:t>
      </w:r>
    </w:p>
    <w:p>
      <w:r>
        <w:t>"Promoter" means Skyline Horizon Developers, registered under the applicable RERA authority for this project.</w:t>
      </w:r>
    </w:p>
    <w:p>
      <w:r>
        <w:t>"Carpet Area" means the net usable floor area of the unit, excluding the area covered by external walls, areas under services shafts, exclusive balcony/verandah, and exclusive open terrace, as defined under the RERA Act.</w:t>
      </w:r>
    </w:p>
    <w:p>
      <w:pPr>
        <w:pStyle w:val="Heading2"/>
      </w:pPr>
      <w:r>
        <w:t>Terms of Sale</w:t>
      </w:r>
    </w:p>
    <w:p>
      <w:r>
        <w:t>This Agreement for Sale governs the sale of Unit(s) in Skyline Horizon Towers between the Promoter and the Allottee, subject to full payment as per the agreed payment plan and compliance with all applicable laws.</w:t>
      </w:r>
    </w:p>
    <w:p>
      <w:r>
        <w:t>The Promoter shall not make any additions or alterations in the sanctioned plans, layout plans, and specifications of the building without the previous written consent of at least two-thirds of the allottees, other than minor alterations required due to architectural and structural reasons.</w:t>
      </w:r>
    </w:p>
    <w:p>
      <w:r>
        <w:t>Title to the unit, along with the proportionate undivided share in common areas, shall be conveyed to the Allottee upon full payment and execution of the sale/conveyance deed.</w:t>
      </w:r>
    </w:p>
    <w:p>
      <w:pPr>
        <w:pStyle w:val="Heading2"/>
      </w:pPr>
      <w:r>
        <w:t>Allottee Obligations</w:t>
      </w:r>
    </w:p>
    <w:p>
      <w:r>
        <w:t>The Allottee shall make timely payments as per the payment plan and shall be liable to pay interest for any delay, at the rate prescribed under the applicable RERA rules.</w:t>
      </w:r>
    </w:p>
    <w:p>
      <w:r>
        <w:t>The Allottee shall participate in the formation of the association of allottees/society/federation, as applicable, and shall pay maintenance charges as levied from the date of offer of possession.</w:t>
      </w:r>
    </w:p>
    <w:p>
      <w:pPr>
        <w:pStyle w:val="Heading2"/>
      </w:pPr>
      <w:r>
        <w:t>Dispute Resolution</w:t>
      </w:r>
    </w:p>
    <w:p>
      <w:r>
        <w:t>Any dispute arising out of this Agreement shall first be referred to mutual discussion between the parties, failing which either party may approach the concerned State Real Estate Regulatory Authority or Adjudicating Officer, or avail remedies under applicable consumer protection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