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1F3A5F"/>
          <w:sz w:val="44"/>
          <w:szCs w:val="44"/>
        </w:rPr>
        <w:t xml:space="preserve">Doctor Manual</w:t>
      </w:r>
    </w:p>
    <w:p>
      <w:pPr>
        <w:pBdr>
          <w:bottom w:val="single" w:color="2E75B6" w:sz="16" w:space="6"/>
        </w:pBdr>
        <w:spacing w:after="60"/>
      </w:pPr>
      <w:r>
        <w:rPr>
          <w:color w:val="2E75B6"/>
          <w:sz w:val="24"/>
          <w:szCs w:val="24"/>
        </w:rPr>
        <w:t xml:space="preserve">Your daily &amp; weekly rhythm — oversee, escalate, decide</w:t>
      </w:r>
    </w:p>
    <w:p>
      <w:pPr>
        <w:spacing w:after="240"/>
      </w:pPr>
      <w:r>
        <w:rPr>
          <w:i/>
          <w:iCs/>
          <w:color w:val="7A7A7A"/>
          <w:sz w:val="18"/>
          <w:szCs w:val="18"/>
        </w:rPr>
        <w:t xml:space="preserve">Version 1.0  ·  28 June 2026  ·  Keep with the clinic operations file</w:t>
      </w:r>
    </w:p>
    <w:tbl>
      <w:tblPr>
        <w:tblW w:type="dxa" w:w="9360"/>
        <w:tblBorders>
          <w:top w:val="single" w:color="D9E6F2" w:sz="1"/>
          <w:left w:val="single" w:color="2E75B6" w:sz="24"/>
          <w:bottom w:val="single" w:color="D9E6F2" w:sz="1"/>
          <w:right w:val="single" w:color="D9E6F2" w:sz="1"/>
          <w:insideH w:val="single" w:color="auto" w:sz="4"/>
          <w:insideV w:val="single" w:color="auto" w:sz="4"/>
        </w:tblBorders>
      </w:tblPr>
      <w:tblGrid>
        <w:gridCol w:w="9360"/>
      </w:tblGrid>
      <w:tr>
        <w:tc>
          <w:tcPr>
            <w:tcW w:type="dxa" w:w="9360"/>
            <w:shd w:fill="D9E6F2" w:val="clear"/>
            <w:tcMar>
              <w:top w:type="dxa" w:w="120"/>
              <w:left w:type="dxa" w:w="200"/>
              <w:bottom w:type="dxa" w:w="120"/>
              <w:right w:type="dxa" w:w="160"/>
            </w:tcMar>
          </w:tcPr>
          <w:p>
            <w:pPr>
              <w:spacing w:after="40"/>
            </w:pPr>
            <w:r>
              <w:rPr>
                <w:b/>
                <w:bCs/>
                <w:color w:val="2E75B6"/>
                <w:sz w:val="20"/>
                <w:szCs w:val="20"/>
              </w:rPr>
              <w:t xml:space="preserve">WHAT THIS IS</w:t>
            </w:r>
          </w:p>
          <w:p>
            <w:pPr>
              <w:spacing w:after="20"/>
            </w:pPr>
            <w:r>
              <w:rPr>
                <w:sz w:val="20"/>
                <w:szCs w:val="20"/>
              </w:rPr>
              <w:t xml:space="preserve">Your short daily and weekly rhythm for running the clinic automation — what to read each morning, what only you can clear, and when to involve MyOperator.</w:t>
            </w:r>
          </w:p>
          <w:p>
            <w:pPr>
              <w:spacing w:after="20"/>
            </w:pPr>
            <w:r>
              <w:rPr>
                <w:b/>
                <w:bCs/>
              </w:rPr>
              <w:t xml:space="preserve">You don’t operate the system; you oversee it. </w:t>
            </w:r>
            <w:r>
              <w:t xml:space="preserve">Staff handle the calls and logging. Your job is the two things only you can do: act on escalations, and decide when a patient’s follow-up is complete.</w:t>
            </w:r>
          </w:p>
        </w:tc>
      </w:tr>
    </w:tbl>
    <w:p>
      <w:pPr>
        <w:pStyle w:val="Heading1"/>
      </w:pPr>
      <w:r>
        <w:t xml:space="preserve">1.  Your rhythm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660"/>
        <w:gridCol w:w="2600"/>
      </w:tblGrid>
      <w:tr>
        <w:trPr>
          <w:tblHeader/>
        </w:trPr>
        <w:tc>
          <w:tcPr>
            <w:tcW w:type="dxa" w:w="2100"/>
            <w:tcBorders>
              <w:top w:val="single" w:color="B7C4D4" w:sz="1"/>
              <w:left w:val="single" w:color="B7C4D4" w:sz="1"/>
              <w:bottom w:val="single" w:color="B7C4D4" w:sz="1"/>
              <w:right w:val="single" w:color="B7C4D4" w:sz="1"/>
            </w:tcBorders>
            <w:shd w:fill="1F3A5F" w:val="clear"/>
            <w:tcMar>
              <w:top w:type="dxa" w:w="70"/>
              <w:left w:type="dxa" w:w="110"/>
              <w:bottom w:type="dxa" w:w="70"/>
              <w:right w:type="dxa" w:w="110"/>
            </w:tcMar>
            <w:vAlign w:val="center"/>
          </w:tcPr>
          <w:p>
            <w:r>
              <w:rPr>
                <w:b/>
                <w:bCs/>
                <w:color w:val="FFFFFF"/>
                <w:sz w:val="19"/>
                <w:szCs w:val="19"/>
              </w:rPr>
              <w:t xml:space="preserve">When</w:t>
            </w:r>
          </w:p>
        </w:tc>
        <w:tc>
          <w:tcPr>
            <w:tcW w:type="dxa" w:w="4660"/>
            <w:tcBorders>
              <w:top w:val="single" w:color="B7C4D4" w:sz="1"/>
              <w:left w:val="single" w:color="B7C4D4" w:sz="1"/>
              <w:bottom w:val="single" w:color="B7C4D4" w:sz="1"/>
              <w:right w:val="single" w:color="B7C4D4" w:sz="1"/>
            </w:tcBorders>
            <w:shd w:fill="1F3A5F" w:val="clear"/>
            <w:tcMar>
              <w:top w:type="dxa" w:w="70"/>
              <w:left w:type="dxa" w:w="110"/>
              <w:bottom w:type="dxa" w:w="70"/>
              <w:right w:type="dxa" w:w="110"/>
            </w:tcMar>
            <w:vAlign w:val="center"/>
          </w:tcPr>
          <w:p>
            <w:r>
              <w:rPr>
                <w:b/>
                <w:bCs/>
                <w:color w:val="FFFFFF"/>
                <w:sz w:val="19"/>
                <w:szCs w:val="19"/>
              </w:rPr>
              <w:t xml:space="preserve">What you do</w:t>
            </w:r>
          </w:p>
        </w:tc>
        <w:tc>
          <w:tcPr>
            <w:tcW w:type="dxa" w:w="2600"/>
            <w:tcBorders>
              <w:top w:val="single" w:color="B7C4D4" w:sz="1"/>
              <w:left w:val="single" w:color="B7C4D4" w:sz="1"/>
              <w:bottom w:val="single" w:color="B7C4D4" w:sz="1"/>
              <w:right w:val="single" w:color="B7C4D4" w:sz="1"/>
            </w:tcBorders>
            <w:shd w:fill="1F3A5F" w:val="clear"/>
            <w:tcMar>
              <w:top w:type="dxa" w:w="70"/>
              <w:left w:type="dxa" w:w="110"/>
              <w:bottom w:type="dxa" w:w="70"/>
              <w:right w:type="dxa" w:w="110"/>
            </w:tcMar>
            <w:vAlign w:val="center"/>
          </w:tcPr>
          <w:p>
            <w:r>
              <w:rPr>
                <w:b/>
                <w:bCs/>
                <w:color w:val="FFFFFF"/>
                <w:sz w:val="19"/>
                <w:szCs w:val="19"/>
              </w:rPr>
              <w:t xml:space="preserve">Where</w:t>
            </w:r>
          </w:p>
        </w:tc>
      </w:tr>
      <w:tr>
        <w:tc>
          <w:tcPr>
            <w:tcW w:type="dxa" w:w="21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b/>
                <w:bCs/>
              </w:rPr>
              <w:t xml:space="preserve">Every morning</w:t>
            </w:r>
          </w:p>
        </w:tc>
        <w:tc>
          <w:tcPr>
            <w:tcW w:type="dxa" w:w="466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Read yesterday’s summary email (who was called, what came of it). Skim for anything that needs you.</w:t>
            </w:r>
          </w:p>
        </w:tc>
        <w:tc>
          <w:tcPr>
            <w:tcW w:type="dxa" w:w="26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Email inbox</w:t>
            </w:r>
          </w:p>
        </w:tc>
      </w:tr>
      <w:tr>
        <w:tc>
          <w:tcPr>
            <w:tcW w:type="dxa" w:w="210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b/>
                <w:bCs/>
              </w:rPr>
              <w:t xml:space="preserve">Every day</w:t>
            </w:r>
          </w:p>
        </w:tc>
        <w:tc>
          <w:tcPr>
            <w:tcW w:type="dxa" w:w="466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sz w:val="19"/>
                <w:szCs w:val="19"/>
              </w:rPr>
              <w:t xml:space="preserve">Clear the Escalations — the handful of patients staff have flagged for you.</w:t>
            </w:r>
          </w:p>
        </w:tc>
        <w:tc>
          <w:tcPr>
            <w:tcW w:type="dxa" w:w="260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sz w:val="19"/>
                <w:szCs w:val="19"/>
              </w:rPr>
              <w:t xml:space="preserve">Dashboard → Escalations</w:t>
            </w:r>
          </w:p>
        </w:tc>
      </w:tr>
      <w:tr>
        <w:tc>
          <w:tcPr>
            <w:tcW w:type="dxa" w:w="21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b/>
                <w:bCs/>
              </w:rPr>
              <w:t xml:space="preserve">As they arrive</w:t>
            </w:r>
          </w:p>
        </w:tc>
        <w:tc>
          <w:tcPr>
            <w:tcW w:type="dxa" w:w="466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Phone/PC alerts when a patient WhatsApps. Reply from the dashboard if needed (doctor-only).</w:t>
            </w:r>
          </w:p>
        </w:tc>
        <w:tc>
          <w:tcPr>
            <w:tcW w:type="dxa" w:w="26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ntfy alert → Dashboard</w:t>
            </w:r>
          </w:p>
        </w:tc>
      </w:tr>
      <w:tr>
        <w:tc>
          <w:tcPr>
            <w:tcW w:type="dxa" w:w="210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b/>
                <w:bCs/>
              </w:rPr>
              <w:t xml:space="preserve">Weekly</w:t>
            </w:r>
          </w:p>
        </w:tc>
        <w:tc>
          <w:tcPr>
            <w:tcW w:type="dxa" w:w="466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sz w:val="19"/>
                <w:szCs w:val="19"/>
              </w:rPr>
              <w:t xml:space="preserve">Glance at dropouts and at how new patients are finding you. Decide any plan changes.</w:t>
            </w:r>
          </w:p>
        </w:tc>
        <w:tc>
          <w:tcPr>
            <w:tcW w:type="dxa" w:w="260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sz w:val="19"/>
                <w:szCs w:val="19"/>
              </w:rPr>
              <w:t xml:space="preserve">Dashboard / summary</w:t>
            </w:r>
          </w:p>
        </w:tc>
      </w:tr>
      <w:tr>
        <w:tc>
          <w:tcPr>
            <w:tcW w:type="dxa" w:w="21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b/>
                <w:bCs/>
              </w:rPr>
              <w:t xml:space="preserve">Rarely</w:t>
            </w:r>
          </w:p>
        </w:tc>
        <w:tc>
          <w:tcPr>
            <w:tcW w:type="dxa" w:w="466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Plan a token rotation or a new template with MyOperator (Lokesh).</w:t>
            </w:r>
          </w:p>
        </w:tc>
        <w:tc>
          <w:tcPr>
            <w:tcW w:type="dxa" w:w="26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Email / call Lokesh</w:t>
            </w:r>
          </w:p>
        </w:tc>
      </w:tr>
    </w:tbl>
    <w:p>
      <w:pPr>
        <w:pStyle w:val="Heading1"/>
      </w:pPr>
      <w:r>
        <w:t xml:space="preserve">2.  The morning summary email</w:t>
      </w:r>
    </w:p>
    <w:p>
      <w:pPr>
        <w:spacing w:after="80"/>
      </w:pPr>
      <w:r>
        <w:t xml:space="preserve">Each morning an automatic email summarises yesterday’s follow-up activity — a simple table of staff member × outcome. It tells you, at a glance:</w:t>
      </w:r>
    </w:p>
    <w:p>
      <w:pPr>
        <w:pStyle w:val="ListParagraph"/>
        <w:numPr>
          <w:ilvl w:val="0"/>
          <w:numId w:val="2"/>
        </w:numPr>
        <w:spacing w:after="40"/>
      </w:pPr>
      <w:r>
        <w:t xml:space="preserve">How many follow-up calls were made, and by whom.</w:t>
      </w:r>
    </w:p>
    <w:p>
      <w:pPr>
        <w:pStyle w:val="ListParagraph"/>
        <w:numPr>
          <w:ilvl w:val="0"/>
          <w:numId w:val="2"/>
        </w:numPr>
        <w:spacing w:after="40"/>
      </w:pPr>
      <w:r>
        <w:t xml:space="preserve">How they landed — coming in, out of town, on medication, couldn’t reach, or escalated.</w:t>
      </w:r>
    </w:p>
    <w:p>
      <w:pPr>
        <w:pStyle w:val="ListParagraph"/>
        <w:numPr>
          <w:ilvl w:val="0"/>
          <w:numId w:val="2"/>
        </w:numPr>
        <w:spacing w:after="40"/>
      </w:pPr>
      <w:r>
        <w:t xml:space="preserve">Whether anything needs your attention (escalations are also waiting in the dashboard).</w:t>
      </w:r>
    </w:p>
    <w:p>
      <w:pPr>
        <w:spacing w:after="60"/>
      </w:pPr>
      <w:r>
        <w:t xml:space="preserve"/>
      </w:r>
    </w:p>
    <w:tbl>
      <w:tblPr>
        <w:tblW w:type="dxa" w:w="9360"/>
        <w:tblBorders>
          <w:top w:val="single" w:color="D9E6F2" w:sz="1"/>
          <w:left w:val="single" w:color="2E75B6" w:sz="24"/>
          <w:bottom w:val="single" w:color="D9E6F2" w:sz="1"/>
          <w:right w:val="single" w:color="D9E6F2" w:sz="1"/>
          <w:insideH w:val="single" w:color="auto" w:sz="4"/>
          <w:insideV w:val="single" w:color="auto" w:sz="4"/>
        </w:tblBorders>
      </w:tblPr>
      <w:tblGrid>
        <w:gridCol w:w="9360"/>
      </w:tblGrid>
      <w:tr>
        <w:tc>
          <w:tcPr>
            <w:tcW w:type="dxa" w:w="9360"/>
            <w:shd w:fill="D9E6F2" w:val="clear"/>
            <w:tcMar>
              <w:top w:type="dxa" w:w="120"/>
              <w:left w:type="dxa" w:w="200"/>
              <w:bottom w:type="dxa" w:w="120"/>
              <w:right w:type="dxa" w:w="160"/>
            </w:tcMar>
          </w:tcPr>
          <w:p>
            <w:pPr>
              <w:spacing w:after="40"/>
            </w:pPr>
            <w:r>
              <w:rPr>
                <w:b/>
                <w:bCs/>
                <w:color w:val="2E75B6"/>
                <w:sz w:val="20"/>
                <w:szCs w:val="20"/>
              </w:rPr>
              <w:t xml:space="preserve">HOW TO READ IT IN 30 SECONDS</w:t>
            </w:r>
          </w:p>
          <w:p>
            <w:pPr>
              <w:spacing w:after="20"/>
            </w:pPr>
            <w:r>
              <w:rPr>
                <w:b/>
                <w:bCs/>
              </w:rPr>
              <w:t xml:space="preserve">1.  </w:t>
            </w:r>
            <w:r>
              <w:t xml:space="preserve">Look at the totals — was the day’s follow-up volume normal?</w:t>
            </w:r>
          </w:p>
          <w:p>
            <w:pPr>
              <w:spacing w:after="20"/>
            </w:pPr>
            <w:r>
              <w:rPr>
                <w:b/>
                <w:bCs/>
              </w:rPr>
              <w:t xml:space="preserve">2.  </w:t>
            </w:r>
            <w:r>
              <w:t xml:space="preserve">Look for the escalation column — any number there means open the dashboard.</w:t>
            </w:r>
          </w:p>
          <w:p>
            <w:pPr>
              <w:spacing w:after="20"/>
            </w:pPr>
            <w:r>
              <w:rPr>
                <w:b/>
                <w:bCs/>
              </w:rPr>
              <w:t xml:space="preserve">3.  </w:t>
            </w:r>
            <w:r>
              <w:t xml:space="preserve">If a staff member’s “couldn’t communicate” count is high, those patients are still pending and will be retried.</w:t>
            </w:r>
          </w:p>
        </w:tc>
      </w:tr>
    </w:tbl>
    <w:p>
      <w:pPr>
        <w:spacing w:after="60"/>
      </w:pPr>
      <w:r>
        <w:t xml:space="preserve"/>
      </w:r>
    </w:p>
    <w:tbl>
      <w:tblPr>
        <w:tblW w:type="dxa" w:w="9360"/>
        <w:tblBorders>
          <w:top w:val="single" w:color="FCEEE3" w:sz="1"/>
          <w:left w:val="single" w:color="B9770E" w:sz="24"/>
          <w:bottom w:val="single" w:color="FCEEE3" w:sz="1"/>
          <w:right w:val="single" w:color="FCEEE3" w:sz="1"/>
          <w:insideH w:val="single" w:color="auto" w:sz="4"/>
          <w:insideV w:val="single" w:color="auto" w:sz="4"/>
        </w:tblBorders>
      </w:tblPr>
      <w:tblGrid>
        <w:gridCol w:w="9360"/>
      </w:tblGrid>
      <w:tr>
        <w:tc>
          <w:tcPr>
            <w:tcW w:type="dxa" w:w="9360"/>
            <w:shd w:fill="FCEEE3" w:val="clear"/>
            <w:tcMar>
              <w:top w:type="dxa" w:w="120"/>
              <w:left w:type="dxa" w:w="200"/>
              <w:bottom w:type="dxa" w:w="120"/>
              <w:right w:type="dxa" w:w="160"/>
            </w:tcMar>
          </w:tcPr>
          <w:p>
            <w:pPr>
              <w:spacing w:after="40"/>
            </w:pPr>
            <w:r>
              <w:rPr>
                <w:b/>
                <w:bCs/>
                <w:color w:val="B9770E"/>
                <w:sz w:val="20"/>
                <w:szCs w:val="20"/>
              </w:rPr>
              <w:t xml:space="preserve">ABOUT THE PHONE NUDGE</w:t>
            </w:r>
          </w:p>
          <w:p>
            <w:pPr>
              <w:spacing w:after="20"/>
            </w:pPr>
            <w:r>
              <w:rPr>
                <w:sz w:val="20"/>
                <w:szCs w:val="20"/>
              </w:rPr>
              <w:t xml:space="preserve">A push-notification version of this summary is built but currently OFF — the free notification service’s quota is reserved for live patient alerts. The email is the reliable channel for now; the nudge switches on once a self-hosted notifier is in place.</w:t>
            </w:r>
          </w:p>
        </w:tc>
      </w:tr>
    </w:tbl>
    <w:p>
      <w:pPr>
        <w:pStyle w:val="Heading1"/>
      </w:pPr>
      <w:r>
        <w:t xml:space="preserve">3.  Clearing the Escalations tab</w:t>
      </w:r>
    </w:p>
    <w:p>
      <w:pPr>
        <w:spacing w:after="120"/>
      </w:pPr>
      <w:r>
        <w:t xml:space="preserve">Escalations are the patients staff couldn’t close on their own — anything clinical or sensitive lands here for you. This view is doctor-only. Each item stays until you resolve it, so the list is your running to-do, not a feed that scrolls away.</w:t>
      </w:r>
    </w:p>
    <w:p>
      <w:pPr>
        <w:pStyle w:val="Heading3"/>
      </w:pPr>
      <w:r>
        <w:t xml:space="preserve">What lands here</w:t>
      </w:r>
    </w:p>
    <w:p>
      <w:pPr>
        <w:pStyle w:val="ListParagraph"/>
        <w:numPr>
          <w:ilvl w:val="0"/>
          <w:numId w:val="2"/>
        </w:numPr>
        <w:spacing w:after="40"/>
      </w:pPr>
      <w:r>
        <w:t xml:space="preserve">Patient reports a problem or needs medical attention.</w:t>
      </w:r>
    </w:p>
    <w:p>
      <w:pPr>
        <w:pStyle w:val="ListParagraph"/>
        <w:numPr>
          <w:ilvl w:val="0"/>
          <w:numId w:val="2"/>
        </w:numPr>
        <w:spacing w:after="40"/>
      </w:pPr>
      <w:r>
        <w:t xml:space="preserve">Patient says they’ve already been seen (“dikha chuke”) — needs reconciling.</w:t>
      </w:r>
    </w:p>
    <w:p>
      <w:pPr>
        <w:pStyle w:val="ListParagraph"/>
        <w:numPr>
          <w:ilvl w:val="0"/>
          <w:numId w:val="2"/>
        </w:numPr>
        <w:spacing w:after="40"/>
      </w:pPr>
      <w:r>
        <w:t xml:space="preserve">Patient not interested, or going for treatment elsewhere.</w:t>
      </w:r>
    </w:p>
    <w:p>
      <w:pPr>
        <w:pStyle w:val="ListParagraph"/>
        <w:numPr>
          <w:ilvl w:val="0"/>
          <w:numId w:val="2"/>
        </w:numPr>
        <w:spacing w:after="40"/>
      </w:pPr>
      <w:r>
        <w:t xml:space="preserve">Any incoming call with a clinical reason — auto-escalated.</w:t>
      </w:r>
    </w:p>
    <w:p>
      <w:pPr>
        <w:spacing w:after="60"/>
      </w:pPr>
      <w:r>
        <w:t xml:space="preserve"/>
      </w:r>
    </w:p>
    <w:p>
      <w:pPr>
        <w:pStyle w:val="Heading3"/>
      </w:pPr>
      <w:r>
        <w:t xml:space="preserve">How you resolve each one</w:t>
      </w:r>
    </w:p>
    <w:p>
      <w:pPr>
        <w:spacing w:after="80"/>
      </w:pPr>
      <w:r>
        <w:t xml:space="preserve">Open the item, decide, and tap one of four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7C4D4" w:sz="1"/>
              <w:left w:val="single" w:color="B7C4D4" w:sz="1"/>
              <w:bottom w:val="single" w:color="B7C4D4" w:sz="1"/>
              <w:right w:val="single" w:color="B7C4D4" w:sz="1"/>
            </w:tcBorders>
            <w:shd w:fill="1F3A5F" w:val="clear"/>
            <w:tcMar>
              <w:top w:type="dxa" w:w="70"/>
              <w:left w:type="dxa" w:w="110"/>
              <w:bottom w:type="dxa" w:w="70"/>
              <w:right w:type="dxa" w:w="110"/>
            </w:tcMar>
            <w:vAlign w:val="center"/>
          </w:tcPr>
          <w:p>
            <w:r>
              <w:rPr>
                <w:b/>
                <w:bCs/>
                <w:color w:val="FFFFFF"/>
                <w:sz w:val="19"/>
                <w:szCs w:val="19"/>
              </w:rPr>
              <w:t xml:space="preserve">Resolution</w:t>
            </w:r>
          </w:p>
        </w:tc>
        <w:tc>
          <w:tcPr>
            <w:tcW w:type="dxa" w:w="6360"/>
            <w:tcBorders>
              <w:top w:val="single" w:color="B7C4D4" w:sz="1"/>
              <w:left w:val="single" w:color="B7C4D4" w:sz="1"/>
              <w:bottom w:val="single" w:color="B7C4D4" w:sz="1"/>
              <w:right w:val="single" w:color="B7C4D4" w:sz="1"/>
            </w:tcBorders>
            <w:shd w:fill="1F3A5F" w:val="clear"/>
            <w:tcMar>
              <w:top w:type="dxa" w:w="70"/>
              <w:left w:type="dxa" w:w="110"/>
              <w:bottom w:type="dxa" w:w="70"/>
              <w:right w:type="dxa" w:w="110"/>
            </w:tcMar>
            <w:vAlign w:val="center"/>
          </w:tcPr>
          <w:p>
            <w:r>
              <w:rPr>
                <w:b/>
                <w:bCs/>
                <w:color w:val="FFFFFF"/>
                <w:sz w:val="19"/>
                <w:szCs w:val="19"/>
              </w:rPr>
              <w:t xml:space="preserve">Use when…</w:t>
            </w:r>
          </w:p>
        </w:tc>
      </w:tr>
      <w:tr>
        <w:tc>
          <w:tcPr>
            <w:tcW w:type="dxa" w:w="30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b/>
                <w:bCs/>
                <w:color w:val="1E7E34"/>
              </w:rPr>
              <w:t xml:space="preserve">Completed treatment</w:t>
            </w:r>
          </w:p>
        </w:tc>
        <w:tc>
          <w:tcPr>
            <w:tcW w:type="dxa" w:w="636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The patient’s course is done — no further follow-up needed. This is your “close it” button.</w:t>
            </w:r>
          </w:p>
        </w:tc>
      </w:tr>
      <w:tr>
        <w:tc>
          <w:tcPr>
            <w:tcW w:type="dxa" w:w="300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b/>
                <w:bCs/>
                <w:color w:val="C0392B"/>
              </w:rPr>
              <w:t xml:space="preserve">Dropped out</w:t>
            </w:r>
          </w:p>
        </w:tc>
        <w:tc>
          <w:tcPr>
            <w:tcW w:type="dxa" w:w="636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sz w:val="19"/>
                <w:szCs w:val="19"/>
              </w:rPr>
              <w:t xml:space="preserve">The patient has genuinely stopped / gone elsewhere and shouldn’t be chased further.</w:t>
            </w:r>
          </w:p>
        </w:tc>
      </w:tr>
      <w:tr>
        <w:tc>
          <w:tcPr>
            <w:tcW w:type="dxa" w:w="300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b/>
                <w:bCs/>
                <w:color w:val="B9770E"/>
              </w:rPr>
              <w:t xml:space="preserve">Will follow up</w:t>
            </w:r>
          </w:p>
        </w:tc>
        <w:tc>
          <w:tcPr>
            <w:tcW w:type="dxa" w:w="6360"/>
            <w:tcBorders>
              <w:top w:val="single" w:color="B7C4D4" w:sz="1"/>
              <w:left w:val="single" w:color="B7C4D4" w:sz="1"/>
              <w:bottom w:val="single" w:color="B7C4D4" w:sz="1"/>
              <w:right w:val="single" w:color="B7C4D4" w:sz="1"/>
            </w:tcBorders>
            <w:shd w:fill="FFFFFF" w:val="clear"/>
            <w:tcMar>
              <w:top w:type="dxa" w:w="60"/>
              <w:left w:type="dxa" w:w="110"/>
              <w:bottom w:type="dxa" w:w="60"/>
              <w:right w:type="dxa" w:w="110"/>
            </w:tcMar>
            <w:vAlign w:val="top"/>
          </w:tcPr>
          <w:p>
            <w:r>
              <w:rPr>
                <w:sz w:val="19"/>
                <w:szCs w:val="19"/>
              </w:rPr>
              <w:t xml:space="preserve">You want them kept in view — they’ll continue to appear for attention.</w:t>
            </w:r>
          </w:p>
        </w:tc>
      </w:tr>
      <w:tr>
        <w:tc>
          <w:tcPr>
            <w:tcW w:type="dxa" w:w="300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b/>
                <w:bCs/>
              </w:rPr>
              <w:t xml:space="preserve">Other</w:t>
            </w:r>
          </w:p>
        </w:tc>
        <w:tc>
          <w:tcPr>
            <w:tcW w:type="dxa" w:w="6360"/>
            <w:tcBorders>
              <w:top w:val="single" w:color="B7C4D4" w:sz="1"/>
              <w:left w:val="single" w:color="B7C4D4" w:sz="1"/>
              <w:bottom w:val="single" w:color="B7C4D4" w:sz="1"/>
              <w:right w:val="single" w:color="B7C4D4" w:sz="1"/>
            </w:tcBorders>
            <w:shd w:fill="F2F2F2" w:val="clear"/>
            <w:tcMar>
              <w:top w:type="dxa" w:w="60"/>
              <w:left w:type="dxa" w:w="110"/>
              <w:bottom w:type="dxa" w:w="60"/>
              <w:right w:type="dxa" w:w="110"/>
            </w:tcMar>
            <w:vAlign w:val="top"/>
          </w:tcPr>
          <w:p>
            <w:r>
              <w:rPr>
                <w:sz w:val="19"/>
                <w:szCs w:val="19"/>
              </w:rPr>
              <w:t xml:space="preserve">Anything that doesn’t fit the three above; add a short note.</w:t>
            </w:r>
          </w:p>
        </w:tc>
      </w:tr>
    </w:tbl>
    <w:p>
      <w:pPr>
        <w:spacing w:after="80"/>
      </w:pPr>
      <w:r>
        <w:t xml:space="preserve"/>
      </w:r>
    </w:p>
    <w:tbl>
      <w:tblPr>
        <w:tblW w:type="dxa" w:w="9360"/>
        <w:tblBorders>
          <w:top w:val="single" w:color="E6F2EA" w:sz="1"/>
          <w:left w:val="single" w:color="1E7E34" w:sz="24"/>
          <w:bottom w:val="single" w:color="E6F2EA" w:sz="1"/>
          <w:right w:val="single" w:color="E6F2EA" w:sz="1"/>
          <w:insideH w:val="single" w:color="auto" w:sz="4"/>
          <w:insideV w:val="single" w:color="auto" w:sz="4"/>
        </w:tblBorders>
      </w:tblPr>
      <w:tblGrid>
        <w:gridCol w:w="9360"/>
      </w:tblGrid>
      <w:tr>
        <w:tc>
          <w:tcPr>
            <w:tcW w:type="dxa" w:w="9360"/>
            <w:shd w:fill="E6F2EA" w:val="clear"/>
            <w:tcMar>
              <w:top w:type="dxa" w:w="120"/>
              <w:left w:type="dxa" w:w="200"/>
              <w:bottom w:type="dxa" w:w="120"/>
              <w:right w:type="dxa" w:w="160"/>
            </w:tcMar>
          </w:tcPr>
          <w:p>
            <w:pPr>
              <w:spacing w:after="40"/>
            </w:pPr>
            <w:r>
              <w:rPr>
                <w:b/>
                <w:bCs/>
                <w:color w:val="1E7E34"/>
                <w:sz w:val="20"/>
                <w:szCs w:val="20"/>
              </w:rPr>
              <w:t xml:space="preserve">YOUR AUTHORITY — “CLOSE FOLLOW-UP · TREATMENT COMPLETE”</w:t>
            </w:r>
          </w:p>
          <w:p>
            <w:pPr>
              <w:spacing w:after="20"/>
            </w:pPr>
            <w:r>
              <w:rPr>
                <w:b/>
                <w:bCs/>
              </w:rPr>
              <w:t xml:space="preserve">Only you can declare a follow-up complete. </w:t>
            </w:r>
            <w:r>
              <w:t xml:space="preserve">When you mark “Completed treatment,” that patient stops being called — the system treats the episode as finished. Staff cannot do this; it’s a clinical judgement reserved for you. Use it confidently once a patient’s treatment is genuinely done, so the team isn’t chasing people who don’t need it.</w:t>
            </w:r>
          </w:p>
        </w:tc>
      </w:tr>
    </w:tbl>
    <w:p>
      <w:pPr>
        <w:spacing w:after="60"/>
      </w:pPr>
      <w:r>
        <w:t xml:space="preserve"/>
      </w:r>
    </w:p>
    <w:tbl>
      <w:tblPr>
        <w:tblW w:type="dxa" w:w="9360"/>
        <w:tblBorders>
          <w:top w:val="single" w:color="D9E6F2" w:sz="1"/>
          <w:left w:val="single" w:color="2E75B6" w:sz="24"/>
          <w:bottom w:val="single" w:color="D9E6F2" w:sz="1"/>
          <w:right w:val="single" w:color="D9E6F2" w:sz="1"/>
          <w:insideH w:val="single" w:color="auto" w:sz="4"/>
          <w:insideV w:val="single" w:color="auto" w:sz="4"/>
        </w:tblBorders>
      </w:tblPr>
      <w:tblGrid>
        <w:gridCol w:w="9360"/>
      </w:tblGrid>
      <w:tr>
        <w:tc>
          <w:tcPr>
            <w:tcW w:type="dxa" w:w="9360"/>
            <w:shd w:fill="D9E6F2" w:val="clear"/>
            <w:tcMar>
              <w:top w:type="dxa" w:w="120"/>
              <w:left w:type="dxa" w:w="200"/>
              <w:bottom w:type="dxa" w:w="120"/>
              <w:right w:type="dxa" w:w="160"/>
            </w:tcMar>
          </w:tcPr>
          <w:p>
            <w:pPr>
              <w:spacing w:after="40"/>
            </w:pPr>
            <w:r>
              <w:rPr>
                <w:b/>
                <w:bCs/>
                <w:color w:val="2E75B6"/>
                <w:sz w:val="20"/>
                <w:szCs w:val="20"/>
              </w:rPr>
              <w:t xml:space="preserve">AIM TO LEAVE IT EMPTY</w:t>
            </w:r>
          </w:p>
          <w:p>
            <w:pPr>
              <w:spacing w:after="20"/>
            </w:pPr>
            <w:r>
              <w:rPr>
                <w:sz w:val="20"/>
                <w:szCs w:val="20"/>
              </w:rPr>
              <w:t xml:space="preserve">A cleared Escalations tab each day means nothing clinical is sitting unattended. If items pile up, that’s the signal to set aside a few minutes — it’s the one list that genuinely needs you.</w:t>
            </w:r>
          </w:p>
        </w:tc>
      </w:tr>
    </w:tbl>
    <w:p>
      <w:pPr>
        <w:pStyle w:val="Heading1"/>
      </w:pPr>
      <w:r>
        <w:t xml:space="preserve">4.  WhatsApp replies (doctor-only)</w:t>
      </w:r>
    </w:p>
    <w:p>
      <w:pPr>
        <w:pStyle w:val="ListParagraph"/>
        <w:numPr>
          <w:ilvl w:val="0"/>
          <w:numId w:val="2"/>
        </w:numPr>
        <w:spacing w:after="40"/>
      </w:pPr>
      <w:r>
        <w:t xml:space="preserve">When a patient WhatsApps, you get a phone/PC alert with their name.</w:t>
      </w:r>
    </w:p>
    <w:p>
      <w:pPr>
        <w:pStyle w:val="ListParagraph"/>
        <w:numPr>
          <w:ilvl w:val="0"/>
          <w:numId w:val="2"/>
        </w:numPr>
        <w:spacing w:after="40"/>
      </w:pPr>
      <w:r>
        <w:t xml:space="preserve">Open the dashboard, read the thread for context, and — if appropriate — reply from the reply box (visible only to you).</w:t>
      </w:r>
    </w:p>
    <w:p>
      <w:pPr>
        <w:pStyle w:val="ListParagraph"/>
        <w:numPr>
          <w:ilvl w:val="0"/>
          <w:numId w:val="2"/>
        </w:numPr>
        <w:spacing w:after="40"/>
      </w:pPr>
      <w:r>
        <w:rPr>
          <w:b/>
          <w:bCs/>
        </w:rPr>
        <w:t xml:space="preserve">The 24-hour rule: </w:t>
      </w:r>
      <w:r>
        <w:t xml:space="preserve">a free-text reply only works within 24 hours of the patient’s last message. Outside that window you (or staff) send an approved template instead. If the reply box won’t send, that’s why.</w:t>
      </w:r>
    </w:p>
    <w:p>
      <w:pPr>
        <w:pStyle w:val="Heading1"/>
      </w:pPr>
      <w:r>
        <w:t xml:space="preserve">5.  The weekly glance</w:t>
      </w:r>
    </w:p>
    <w:p>
      <w:pPr>
        <w:pStyle w:val="ListParagraph"/>
        <w:numPr>
          <w:ilvl w:val="0"/>
          <w:numId w:val="2"/>
        </w:numPr>
        <w:spacing w:after="40"/>
      </w:pPr>
      <w:r>
        <w:rPr>
          <w:b/>
          <w:bCs/>
        </w:rPr>
        <w:t xml:space="preserve">Dropouts: </w:t>
      </w:r>
      <w:r>
        <w:t xml:space="preserve">patients who’ve drifted past their follow-up. The system flags probable dropouts so you can decide whether any are worth a personal call.</w:t>
      </w:r>
    </w:p>
    <w:p>
      <w:pPr>
        <w:pStyle w:val="ListParagraph"/>
        <w:numPr>
          <w:ilvl w:val="0"/>
          <w:numId w:val="2"/>
        </w:numPr>
        <w:spacing w:after="40"/>
      </w:pPr>
      <w:r>
        <w:rPr>
          <w:b/>
          <w:bCs/>
        </w:rPr>
        <w:t xml:space="preserve">How new patients found you: </w:t>
      </w:r>
      <w:r>
        <w:t xml:space="preserve">incoming-call logging captures “how did you hear about us” for new enquiries. Over a week this shows what’s actually bringing patients in — useful for where to spend effort.</w:t>
      </w:r>
    </w:p>
    <w:p>
      <w:pPr>
        <w:pStyle w:val="ListParagraph"/>
        <w:numPr>
          <w:ilvl w:val="0"/>
          <w:numId w:val="2"/>
        </w:numPr>
        <w:spacing w:after="40"/>
      </w:pPr>
      <w:r>
        <w:rPr>
          <w:b/>
          <w:bCs/>
        </w:rPr>
        <w:t xml:space="preserve">Team activity: </w:t>
      </w:r>
      <w:r>
        <w:t xml:space="preserve">the summaries show who’s making calls and how they’re landing — a light, honest picture of the desk’s work.</w:t>
      </w:r>
    </w:p>
    <w:p>
      <w:pPr>
        <w:pStyle w:val="Heading1"/>
      </w:pPr>
      <w:r>
        <w:t xml:space="preserve">6.  When to involve MyOperator (Lokesh)</w:t>
      </w:r>
    </w:p>
    <w:p>
      <w:pPr>
        <w:spacing w:after="80"/>
      </w:pPr>
      <w:r>
        <w:t xml:space="preserve">Lokesh is the MyOperator engineer and the right contact for anything account-side. Reach out for:</w:t>
      </w:r>
    </w:p>
    <w:p>
      <w:pPr>
        <w:pStyle w:val="ListParagraph"/>
        <w:numPr>
          <w:ilvl w:val="0"/>
          <w:numId w:val="2"/>
        </w:numPr>
        <w:spacing w:after="40"/>
      </w:pPr>
      <w:r>
        <w:t xml:space="preserve">A planned WhatsApp token rotation — always confirm the safe order and timing with him first (see the warning below).</w:t>
      </w:r>
    </w:p>
    <w:p>
      <w:pPr>
        <w:pStyle w:val="ListParagraph"/>
        <w:numPr>
          <w:ilvl w:val="0"/>
          <w:numId w:val="2"/>
        </w:numPr>
        <w:spacing w:after="40"/>
      </w:pPr>
      <w:r>
        <w:t xml:space="preserve">Approving a new WhatsApp template, or changing numbers / seats / plan limits.</w:t>
      </w:r>
    </w:p>
    <w:p>
      <w:pPr>
        <w:pStyle w:val="ListParagraph"/>
        <w:numPr>
          <w:ilvl w:val="0"/>
          <w:numId w:val="2"/>
        </w:numPr>
        <w:spacing w:after="40"/>
      </w:pPr>
      <w:r>
        <w:t xml:space="preserve">Any account-wide outage — sending or calling stops for everyone despite correct use.</w:t>
      </w:r>
    </w:p>
    <w:p>
      <w:pPr>
        <w:spacing w:after="80"/>
      </w:pPr>
      <w:r>
        <w:t xml:space="preserve"/>
      </w:r>
    </w:p>
    <w:tbl>
      <w:tblPr>
        <w:tblW w:type="dxa" w:w="9360"/>
        <w:tblBorders>
          <w:top w:val="single" w:color="FBEAE8" w:sz="1"/>
          <w:left w:val="single" w:color="C0392B" w:sz="24"/>
          <w:bottom w:val="single" w:color="FBEAE8" w:sz="1"/>
          <w:right w:val="single" w:color="FBEAE8" w:sz="1"/>
          <w:insideH w:val="single" w:color="auto" w:sz="4"/>
          <w:insideV w:val="single" w:color="auto" w:sz="4"/>
        </w:tblBorders>
      </w:tblPr>
      <w:tblGrid>
        <w:gridCol w:w="9360"/>
      </w:tblGrid>
      <w:tr>
        <w:tc>
          <w:tcPr>
            <w:tcW w:type="dxa" w:w="9360"/>
            <w:shd w:fill="FBEAE8" w:val="clear"/>
            <w:tcMar>
              <w:top w:type="dxa" w:w="120"/>
              <w:left w:type="dxa" w:w="200"/>
              <w:bottom w:type="dxa" w:w="120"/>
              <w:right w:type="dxa" w:w="160"/>
            </w:tcMar>
          </w:tcPr>
          <w:p>
            <w:pPr>
              <w:spacing w:after="40"/>
            </w:pPr>
            <w:r>
              <w:rPr>
                <w:b/>
                <w:bCs/>
                <w:color w:val="C0392B"/>
                <w:sz w:val="20"/>
                <w:szCs w:val="20"/>
              </w:rPr>
              <w:t xml:space="preserve">THE ONE HIGH-RISK ACTION — TOKEN ROTATION</w:t>
            </w:r>
          </w:p>
          <w:p>
            <w:pPr>
              <w:spacing w:after="20"/>
            </w:pPr>
            <w:r>
              <w:rPr>
                <w:b/>
                <w:bCs/>
              </w:rPr>
              <w:t xml:space="preserve">Regenerating the WhatsApp token breaks the live after-call and missed-call messages within ~24 hours. </w:t>
            </w:r>
            <w:r>
              <w:t xml:space="preserve">There’s a short grace window to put the new token in place everywhere. Never do it casually — plan it with Lokesh. It is not needed for normal running.</w:t>
            </w:r>
          </w:p>
        </w:tc>
      </w:tr>
    </w:tbl>
    <w:p>
      <w:pPr>
        <w:pStyle w:val="Heading1"/>
      </w:pPr>
      <w:r>
        <w:t xml:space="preserve">7.  The whole system in one paragraph</w:t>
      </w:r>
    </w:p>
    <w:tbl>
      <w:tblPr>
        <w:tblW w:type="dxa" w:w="9360"/>
        <w:tblBorders>
          <w:top w:val="single" w:color="E6F2EA" w:sz="1"/>
          <w:left w:val="single" w:color="1E7E34" w:sz="24"/>
          <w:bottom w:val="single" w:color="E6F2EA" w:sz="1"/>
          <w:right w:val="single" w:color="E6F2EA" w:sz="1"/>
          <w:insideH w:val="single" w:color="auto" w:sz="4"/>
          <w:insideV w:val="single" w:color="auto" w:sz="4"/>
        </w:tblBorders>
      </w:tblPr>
      <w:tblGrid>
        <w:gridCol w:w="9360"/>
      </w:tblGrid>
      <w:tr>
        <w:tc>
          <w:tcPr>
            <w:tcW w:type="dxa" w:w="9360"/>
            <w:shd w:fill="E6F2EA" w:val="clear"/>
            <w:tcMar>
              <w:top w:type="dxa" w:w="120"/>
              <w:left w:type="dxa" w:w="200"/>
              <w:bottom w:type="dxa" w:w="120"/>
              <w:right w:type="dxa" w:w="160"/>
            </w:tcMar>
          </w:tcPr>
          <w:p>
            <w:pPr>
              <w:spacing w:after="20"/>
            </w:pPr>
            <w:r>
              <w:rPr>
                <w:sz w:val="20"/>
                <w:szCs w:val="20"/>
              </w:rPr>
              <w:t xml:space="preserve">Staff make the calls and log honest outcomes. The lists keep themselves correct. Clinical and sensitive matters rise to you as Escalations, and a morning email tells you how yesterday went. Your two irreplaceable jobs: act on escalations, and decide when a patient’s follow-up is complete. Everything else runs quietly underneath — and if any piece ever falters, the manual way of working is always still there as the safety net.</w:t>
            </w:r>
          </w:p>
        </w:tc>
      </w:tr>
    </w:tbl>
    <w:sectPr>
      <w:headerReference w:type="default" r:id="rId7"/>
      <w:footerReference w:type="default" r:id="rId8"/>
      <w:pgSz w:w="12240" w:h="15840" w:orient="portrait"/>
      <w:pgMar w:top="144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4D4" w:sz="6" w:space="2"/>
      </w:pBdr>
      <w:tabs>
        <w:tab w:val="right" w:pos="9360"/>
      </w:tabs>
    </w:pPr>
    <w:r>
      <w:rPr>
        <w:color w:val="7A7A7A"/>
        <w:sz w:val="16"/>
        <w:szCs w:val="16"/>
      </w:rPr>
      <w:t xml:space="preserve">Your daily &amp; weekly rhythm — oversee, escalate, decide  ·  v1.0  ·  28 Jun 2026</w:t>
    </w:r>
    <w:r>
      <w:rPr>
        <w:color w:val="7A7A7A"/>
        <w:sz w:val="16"/>
        <w:szCs w:val="16"/>
      </w:rPr>
      <w:t xml:space="preserve">	Page </w:t>
    </w:r>
    <w:r>
      <w:rPr>
        <w:color w:val="7A7A7A"/>
        <w:sz w:val="16"/>
        <w:szCs w:val="16"/>
      </w:rPr>
      <w:fldChar w:fldCharType="begin"/>
      <w:instrText xml:space="preserve">PAGE</w:instrText>
      <w:fldChar w:fldCharType="separate"/>
      <w:fldChar w:fldCharType="end"/>
    </w:r>
    <w:r>
      <w:rPr>
        <w:color w:val="7A7A7A"/>
        <w:sz w:val="16"/>
        <w:szCs w:val="16"/>
      </w:rPr>
      <w:t xml:space="preserve"> of </w:t>
    </w:r>
    <w:r>
      <w:rPr>
        <w:color w:val="7A7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4" w:sz="6" w:space="2"/>
      </w:pBdr>
    </w:pPr>
    <w:r>
      <w:rPr>
        <w:b/>
        <w:bCs/>
        <w:color w:val="1F3A5F"/>
        <w:sz w:val="18"/>
        <w:szCs w:val="18"/>
      </w:rPr>
      <w:t xml:space="preserve">Dr. Manoj Agarwal Clinic</w:t>
    </w:r>
    <w:r>
      <w:rPr>
        <w:color w:val="7A7A7A"/>
        <w:sz w:val="18"/>
        <w:szCs w:val="18"/>
      </w:rPr>
      <w:t xml:space="preserve">   ·   Advanced Orthopaedic Surgery Centre, Bareilly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space="4"/>
      </w:pBd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2026-06-28T14:49:24.350Z</dcterms:created>
  <dcterms:modified xsi:type="dcterms:W3CDTF">2026-06-28T14:49:24.350Z</dcterms:modified>
</cp:coreProperties>
</file>

<file path=docProps/custom.xml><?xml version="1.0" encoding="utf-8"?>
<Properties xmlns="http://schemas.openxmlformats.org/officeDocument/2006/custom-properties" xmlns:vt="http://schemas.openxmlformats.org/officeDocument/2006/docPropsVTypes"/>
</file>