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Order Processing Integration — Technical Design Document</w:t>
      </w:r>
    </w:p>
    <w:p>
      <w:pPr>
        <w:jc w:val="center"/>
      </w:pPr>
      <w:r>
        <w:t>Version 1.0  |  Status: Approved  |  Owner: Platform Architecture</w:t>
      </w:r>
    </w:p>
    <w:p/>
    <w:p>
      <w:pPr>
        <w:pStyle w:val="Heading1"/>
      </w:pPr>
      <w:r>
        <w:t>1. Architecture Overview</w:t>
      </w:r>
    </w:p>
    <w:p>
      <w:r>
        <w:t>The Order Processing integration runs on MuleSoft Anypoint Platform 4.4+. All integration logic is implemented as stateless Mule flows. The platform uses event-driven, synchronous HTTP for inbound requests and synchronous database writes for persistence. No asynchronous scopes or message queues are used in Phase 1.</w:t>
      </w:r>
    </w:p>
    <w:p>
      <w:pPr>
        <w:pStyle w:val="Heading1"/>
      </w:pPr>
      <w:r>
        <w:t>2. Technology Decisions</w:t>
      </w:r>
    </w:p>
    <w:p>
      <w:r>
        <w:t>Runtime: MuleSoft 4.4+ on Java 17.</w:t>
      </w:r>
    </w:p>
    <w:p>
      <w:r>
        <w:t>Persistence: PostgreSQL 15 via the Mule Database Connector.</w:t>
      </w:r>
    </w:p>
    <w:p>
      <w:r>
        <w:t>Transport: HTTP/REST only. SOAP is not permitted.</w:t>
      </w:r>
    </w:p>
    <w:p>
      <w:r>
        <w:t>External CRM: Salesforce integration is approved for Phase 2 only. No Salesforce connector or sfdc:* operations are permitted in Phase 1 code.</w:t>
      </w:r>
    </w:p>
    <w:p>
      <w:r>
        <w:t>Currency: The platform handles USD only in Phase 1. Multi-currency support is a Phase 3 deliverable and must not be introduced earlier.</w:t>
      </w:r>
    </w:p>
    <w:p>
      <w:pPr>
        <w:pStyle w:val="Heading1"/>
      </w:pPr>
      <w:r>
        <w:t>3. API Design Patterns</w:t>
      </w:r>
    </w:p>
    <w:p>
      <w:r>
        <w:t>All inbound endpoints use HTTP POST with JSON payloads.</w:t>
      </w:r>
    </w:p>
    <w:p>
      <w:r>
        <w:t>Success responses return HTTP 200 with a JSON body.</w:t>
      </w:r>
    </w:p>
    <w:p>
      <w:r>
        <w:t>Client errors (validation failures) return HTTP 400.</w:t>
      </w:r>
    </w:p>
    <w:p>
      <w:r>
        <w:t>Server errors return HTTP 500. HTTP 503 is reserved exclusively for planned maintenance windows announced through the operations runbook. It must NOT be used for runtime error conditions such as database connectivity failures.</w:t>
      </w:r>
    </w:p>
    <w:p>
      <w:r>
        <w:t>All requests carry a correlationId field. Flows must capture the correlationId from the inbound HTTP request and store it in a flow variable for use in all downstream log messages.</w:t>
      </w:r>
    </w:p>
    <w:p>
      <w:pPr>
        <w:pStyle w:val="Heading1"/>
      </w:pPr>
      <w:r>
        <w:t>4. Error Handling Standards</w:t>
      </w:r>
    </w:p>
    <w:p>
      <w:r>
        <w:t>Every on-error-continue and on-error-propagate block must contain a logger component as its first element. Silent error swallowing is not permitted.</w:t>
      </w:r>
    </w:p>
    <w:p>
      <w:r>
        <w:t>Database connector errors (DB:* namespace) must use on-error-continue and return HTTP 500 to the caller with a generic error message. The specific SQL error must be logged but must not be surfaced in the response body.</w:t>
      </w:r>
    </w:p>
    <w:p>
      <w:r>
        <w:t>External system errors must use on-error-propagate so the failure is visible to the caller. The caller receives HTTP 500.</w:t>
      </w:r>
    </w:p>
    <w:p>
      <w:r>
        <w:t>The on-error-continue handler for database errors must set the HTTP status to 500 (not 503). 503 implies the service is intentionally unavailable, which is misleading for a transient DB error.</w:t>
      </w:r>
    </w:p>
    <w:p>
      <w:pPr>
        <w:pStyle w:val="Heading1"/>
      </w:pPr>
      <w:r>
        <w:t>5. Approved Data Flow</w:t>
      </w:r>
    </w:p>
    <w:p>
      <w:r>
        <w:t>Phase 1 data flow (the only approved flow for this release):</w:t>
      </w:r>
    </w:p>
    <w:p>
      <w:r>
        <w:t xml:space="preserve">  1. HTTP POST /api/orders received.</w:t>
      </w:r>
    </w:p>
    <w:p>
      <w:r>
        <w:t xml:space="preserve">  2. Correlation ID captured from X-Correlation-Id header into flow variable.</w:t>
      </w:r>
    </w:p>
    <w:p>
      <w:r>
        <w:t xml:space="preserve">  3. Payload transformed: amounts cast to Number, line-item subtotals calculated.</w:t>
      </w:r>
    </w:p>
    <w:p>
      <w:r>
        <w:t xml:space="preserve">  4. Order header inserted into orders table.</w:t>
      </w:r>
    </w:p>
    <w:p>
      <w:r>
        <w:t xml:space="preserve">  5. Line items inserted into order_items table.</w:t>
      </w:r>
    </w:p>
    <w:p>
      <w:r>
        <w:t xml:space="preserve">  6. HTTP 200 returned with orderId and status.</w:t>
      </w:r>
    </w:p>
    <w:p>
      <w:r>
        <w:t>No additional persistence targets (CRM, ERP, queues) are part of the Phase 1 flow.</w:t>
      </w:r>
    </w:p>
    <w:p>
      <w:pPr>
        <w:pStyle w:val="Heading1"/>
      </w:pPr>
      <w:r>
        <w:t>6. Logging Standards</w:t>
      </w:r>
    </w:p>
    <w:p>
      <w:r>
        <w:t>Log at INFO level for business events (order received, order saved).</w:t>
      </w:r>
    </w:p>
    <w:p>
      <w:r>
        <w:t>Log at ERROR level for all caught exceptions. Include correlationId in every log message.</w:t>
      </w:r>
    </w:p>
    <w:p>
      <w:r>
        <w:t>Use the pattern: #["[" ++ vars.correlationId ++ "] " ++ message]</w:t>
      </w:r>
    </w:p>
    <w:p>
      <w:pPr>
        <w:pStyle w:val="Heading1"/>
      </w:pPr>
      <w:r>
        <w:t>7. Out of Scope for Phase 1</w:t>
      </w:r>
    </w:p>
    <w:p>
      <w:r>
        <w:t>The following are explicitly deferred and must not appear in Phase 1:</w:t>
      </w:r>
    </w:p>
    <w:p>
      <w:r>
        <w:t xml:space="preserve">  - Salesforce CRM writes (approved for Phase 2).</w:t>
      </w:r>
    </w:p>
    <w:p>
      <w:r>
        <w:t xml:space="preserve">  - Multi-currency order amounts (approved for Phase 3).</w:t>
      </w:r>
    </w:p>
    <w:p>
      <w:r>
        <w:t xml:space="preserve">  - Retry policies on external systems.</w:t>
      </w:r>
    </w:p>
    <w:p>
      <w:r>
        <w:t xml:space="preserve">  - Asynchronous processing (async scopes, VM queues).</w:t>
      </w:r>
    </w:p>
    <w:p>
      <w:r>
        <w:t xml:space="preserve">  - Batch processing of orders.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