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audit-risk-report-generator — How It Works</w:t>
      </w:r>
    </w:p>
    <w:p>
      <w:r>
        <w:rPr>
          <w:i/>
          <w:color w:val="555555"/>
          <w:sz w:val="22"/>
        </w:rPr>
        <w:t>A plain-English walkthrough of the architecture, the pipeline, and what makes it different from just asking an AI chatbot to review financial statements.</w:t>
      </w:r>
    </w:p>
    <w:p/>
    <w:p>
      <w:pPr>
        <w:pStyle w:val="Heading1"/>
      </w:pPr>
      <w:r>
        <w:t>What It Does</w:t>
      </w:r>
    </w:p>
    <w:p>
      <w:r>
        <w:t>You upload a company's annual report — as a PDF, a Word document, or even a scanned/photographed page — and optionally an Excel workbook with the same financial statements. The tool reads the balance sheet, profit &amp; loss, cash flow statement, and every numbered note to accounts, then produces a structured audit risk report: a list of observations rated High / Medium / Low, each one citing the exact figures involved and the specific Ind AS / Companies Act / ICAI provision it relates to. The output is a formatted Word document that reads like a manually prepared audit working paper.</w:t>
      </w:r>
    </w:p>
    <w:p>
      <w:pPr>
        <w:pStyle w:val="Heading1"/>
      </w:pPr>
      <w:r>
        <w:t>The Core Idea: Split the Job in Two</w:t>
      </w:r>
    </w:p>
    <w:p>
      <w:r>
        <w:t>The single most important design decision in this tool is that it does NOT ask an AI model to read the financial statements and figure out what's risky. That approach — which is what most "AI audit tool" demos actually do — has an unavoidable problem: language models are not reliable at arithmetic on large documents, and they will occasionally invent a number, mix up two figures, or cite a standard that doesn't say what they claim it says. For an audit working paper, that's disqualifying.</w:t>
      </w:r>
    </w:p>
    <w:p>
      <w:r>
        <w:t>audit-risk-report-generator instead splits the job into two completely separate stages:</w:t>
      </w:r>
    </w:p>
    <w:p>
      <w:pPr>
        <w:pStyle w:val="ListBullet"/>
      </w:pPr>
      <w:r>
        <w:rPr>
          <w:b/>
        </w:rPr>
        <w:t>Everything involving numbers is done with ordinary, deterministic Python code</w:t>
      </w:r>
      <w:r>
        <w:t xml:space="preserve"> — extracting figures from tables, matching a company's own labels to a standard chart of accounts, computing year-on-year movements and financial ratios, and checking those numbers against ~20 hard-coded audit rules (e.g. "cash fell more than 40% and is material to total assets"). This code runs the same way every time on the same input. No model is involved, so there is nothing here that can hallucinate a figure.</w:t>
      </w:r>
    </w:p>
    <w:p>
      <w:pPr>
        <w:pStyle w:val="ListBullet"/>
      </w:pPr>
      <w:r>
        <w:rPr>
          <w:b/>
        </w:rPr>
        <w:t>Even that final sentence is now mostly deterministic too. The observation and recommendation text for every one of the ~21 rules is built from a template using the flag's own already-verified numbers — no model call at all for most of a report. The one place a model still runs is narrower: for each flag, it reads the company's actual note text and decides whether that note already explains the number, adding one qualifying sentence only when it doesn't. Even there, it's instructed never to use a figure that wasn't handed to it, and the risk rating it's shown is always the one the deterministic rule already decided, never the model's own guess.</w:t>
      </w:r>
      <w:r/>
    </w:p>
    <w:p/>
    <w:p>
      <w:pPr>
        <w:pStyle w:val="Heading1"/>
      </w:pPr>
      <w:r>
        <w:t>The Five-Layer Pipeline</w:t>
      </w:r>
    </w:p>
    <w:p>
      <w:r>
        <w:t>Each uploaded document passes through five stages, in order:</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F5496"/>
          </w:tcPr>
          <w:p>
            <w:r/>
            <w:r>
              <w:rPr>
                <w:b/>
                <w:color w:val="FFFFFF"/>
                <w:sz w:val="20"/>
              </w:rPr>
              <w:t>Layer</w:t>
            </w:r>
          </w:p>
        </w:tc>
        <w:tc>
          <w:tcPr>
            <w:tcW w:type="dxa" w:w="2880"/>
            <w:shd w:val="clear" w:color="auto" w:fill="2F5496"/>
          </w:tcPr>
          <w:p>
            <w:r/>
            <w:r>
              <w:rPr>
                <w:b/>
                <w:color w:val="FFFFFF"/>
                <w:sz w:val="20"/>
              </w:rPr>
              <w:t>What it does</w:t>
            </w:r>
          </w:p>
        </w:tc>
        <w:tc>
          <w:tcPr>
            <w:tcW w:type="dxa" w:w="2880"/>
            <w:shd w:val="clear" w:color="auto" w:fill="2F5496"/>
          </w:tcPr>
          <w:p>
            <w:r/>
            <w:r>
              <w:rPr>
                <w:b/>
                <w:color w:val="FFFFFF"/>
                <w:sz w:val="20"/>
              </w:rPr>
              <w:t>Detail</w:t>
            </w:r>
          </w:p>
        </w:tc>
      </w:tr>
      <w:tr>
        <w:tc>
          <w:tcPr>
            <w:tcW w:type="dxa" w:w="2880"/>
          </w:tcPr>
          <w:p>
            <w:r>
              <w:rPr>
                <w:sz w:val="19"/>
              </w:rPr>
            </w:r>
            <w:r>
              <w:rPr>
                <w:b/>
                <w:sz w:val="19"/>
              </w:rPr>
              <w:t>1. Extraction</w:t>
            </w:r>
          </w:p>
        </w:tc>
        <w:tc>
          <w:tcPr>
            <w:tcW w:type="dxa" w:w="2880"/>
          </w:tcPr>
          <w:p>
            <w:r>
              <w:rPr>
                <w:sz w:val="19"/>
              </w:rPr>
              <w:t>Reads the raw document.</w:t>
            </w:r>
          </w:p>
        </w:tc>
        <w:tc>
          <w:tcPr>
            <w:tcW w:type="dxa" w:w="2880"/>
          </w:tcPr>
          <w:p>
            <w:r>
              <w:rPr>
                <w:sz w:val="19"/>
              </w:rPr>
              <w:t>Pulls text and tables from PDFs (with an OCR fallback for scanned pages), Word documents, and Excel workbooks. Photographed/scanned images are read the same way as a scanned PDF page, via optical character recognition.</w:t>
            </w:r>
          </w:p>
        </w:tc>
      </w:tr>
      <w:tr>
        <w:tc>
          <w:tcPr>
            <w:tcW w:type="dxa" w:w="2880"/>
          </w:tcPr>
          <w:p>
            <w:r>
              <w:rPr>
                <w:sz w:val="19"/>
              </w:rPr>
            </w:r>
            <w:r>
              <w:rPr>
                <w:b/>
                <w:sz w:val="19"/>
              </w:rPr>
              <w:t>2. Note Segmentation</w:t>
            </w:r>
          </w:p>
        </w:tc>
        <w:tc>
          <w:tcPr>
            <w:tcW w:type="dxa" w:w="2880"/>
          </w:tcPr>
          <w:p>
            <w:r>
              <w:rPr>
                <w:sz w:val="19"/>
              </w:rPr>
              <w:t>Finds where each numbered note starts and ends, and how notes reference each other.</w:t>
            </w:r>
          </w:p>
        </w:tc>
        <w:tc>
          <w:tcPr>
            <w:tcW w:type="dxa" w:w="2880"/>
          </w:tcPr>
          <w:p>
            <w:r>
              <w:rPr>
                <w:sz w:val="19"/>
              </w:rPr>
              <w:t>Indian annual reports are full of "(refer Note 27)"-style cross-references. This stage builds a map of every note and follows those references automatically, so that when Note 7 says "see Note 32," the tool pulls in Note 32's text too.</w:t>
            </w:r>
          </w:p>
        </w:tc>
      </w:tr>
      <w:tr>
        <w:tc>
          <w:tcPr>
            <w:tcW w:type="dxa" w:w="2880"/>
          </w:tcPr>
          <w:p>
            <w:r>
              <w:rPr>
                <w:sz w:val="19"/>
              </w:rPr>
            </w:r>
            <w:r>
              <w:rPr>
                <w:b/>
                <w:sz w:val="19"/>
              </w:rPr>
              <w:t>3. Normalization</w:t>
            </w:r>
          </w:p>
        </w:tc>
        <w:tc>
          <w:tcPr>
            <w:tcW w:type="dxa" w:w="2880"/>
          </w:tcPr>
          <w:p>
            <w:r>
              <w:rPr>
                <w:sz w:val="19"/>
              </w:rPr>
              <w:t>Matches the company's own line-item labels to a standard chart of accounts.</w:t>
            </w:r>
          </w:p>
        </w:tc>
        <w:tc>
          <w:tcPr>
            <w:tcW w:type="dxa" w:w="2880"/>
          </w:tcPr>
          <w:p>
            <w:r>
              <w:rPr>
                <w:sz w:val="19"/>
              </w:rPr>
              <w:t>Every company writes "Cash and cash equivalents" slightly differently — different wording, different note numbering, sometimes typos. This stage maps whatever label the company used to one of ~60 standard categories, using exact matching first, then fuzzy text matching, then AI-based semantic matching only as a last resort — always on the label text, never on the number itself.</w:t>
            </w:r>
          </w:p>
        </w:tc>
      </w:tr>
      <w:tr>
        <w:tc>
          <w:tcPr>
            <w:tcW w:type="dxa" w:w="2880"/>
          </w:tcPr>
          <w:p>
            <w:r>
              <w:rPr>
                <w:sz w:val="19"/>
              </w:rPr>
            </w:r>
            <w:r>
              <w:rPr>
                <w:b/>
                <w:sz w:val="19"/>
              </w:rPr>
              <w:t>4. Analytics</w:t>
            </w:r>
          </w:p>
        </w:tc>
        <w:tc>
          <w:tcPr>
            <w:tcW w:type="dxa" w:w="2880"/>
          </w:tcPr>
          <w:p>
            <w:r>
              <w:rPr>
                <w:sz w:val="19"/>
              </w:rPr>
              <w:t>Computes ratios and movements, then checks them against fixed audit rules.</w:t>
            </w:r>
          </w:p>
        </w:tc>
        <w:tc>
          <w:tcPr>
            <w:tcW w:type="dxa" w:w="2880"/>
          </w:tcPr>
          <w:p>
            <w:r>
              <w:rPr>
                <w:sz w:val="19"/>
              </w:rPr>
              <w:t>Current ratio, debt-equity, debtor days, and 8 more standard ratios; year-on-year % change for every line item; and roughly 20 specific audit rules such as "contingent liabilities jumped &gt;5% of equity" or "MSME trade payables grew &gt;40% with no interest disclosure." Every rule either fires or it doesn't — there's no judgment call made by a model here.</w:t>
            </w:r>
          </w:p>
        </w:tc>
      </w:tr>
      <w:tr>
        <w:tc>
          <w:tcPr>
            <w:tcW w:type="dxa" w:w="2880"/>
          </w:tcPr>
          <w:p>
            <w:r>
              <w:rPr>
                <w:sz w:val="19"/>
              </w:rPr>
            </w:r>
            <w:r>
              <w:rPr>
                <w:b/>
                <w:sz w:val="19"/>
              </w:rPr>
              <w:t>5. Narrative Generation</w:t>
            </w:r>
          </w:p>
        </w:tc>
        <w:tc>
          <w:tcPr>
            <w:tcW w:type="dxa" w:w="2880"/>
          </w:tcPr>
          <w:p>
            <w:r>
              <w:rPr>
                <w:sz w:val="19"/>
              </w:rPr>
              <w:t>Turns each triggered rule into an audit-quality written observation.</w:t>
            </w:r>
          </w:p>
        </w:tc>
        <w:tc>
          <w:tcPr>
            <w:tcW w:type="dxa" w:w="2880"/>
          </w:tcPr>
          <w:p>
            <w:r>
              <w:rPr>
                <w:sz w:val="19"/>
              </w:rPr>
              <w:t>For each rule that fired, the tool retrieves the relevant paragraph from the actual Ind AS / Companies Act / ICAI standards text (a searchable library built once from the official standards documents), and asks a language model to write up the observation using only the numbers and standard text it was given.</w:t>
            </w:r>
          </w:p>
        </w:tc>
      </w:tr>
    </w:tbl>
    <w:p/>
    <w:p>
      <w:pPr>
        <w:pStyle w:val="Heading1"/>
      </w:pPr>
      <w:r>
        <w:t>What Makes This Different (Value Additions)</w:t>
      </w:r>
    </w:p>
    <w:p>
      <w:r>
        <w:rPr>
          <w:b/>
          <w:sz w:val="22"/>
        </w:rPr>
        <w:t>Numbers can't be hallucinated by design</w:t>
      </w:r>
    </w:p>
    <w:p>
      <w:pPr>
        <w:spacing w:after="200"/>
      </w:pPr>
      <w:r>
        <w:t>Because arithmetic and figure-extraction never touch the language model, every number in the final report traces back to something literally present in the uploaded document — not to the model's guess. This is the difference between a genuinely auditable tool and a chatbot demo.</w:t>
      </w:r>
    </w:p>
    <w:p>
      <w:r>
        <w:rPr>
          <w:b/>
          <w:sz w:val="22"/>
        </w:rPr>
        <w:t>Runs entirely free, locally, with no API key</w:t>
      </w:r>
    </w:p>
    <w:p>
      <w:pPr>
        <w:spacing w:after="200"/>
      </w:pPr>
      <w:r>
        <w:t>The one AI-generated piece per flag — a single qualifying sentence, only when the company's own notes don't already explain a number — comes from an open-weight model (Qwen2.5, 7 billion parameters) — no subscription, no per-report cost, no data sent to a third-party API. It runs two ways: directly on a Mac via Apple's mlx framework (fastest, Metal-accelerated), or in a Google Cloud Run container via llama.cpp on CPU (no Mac needed — a browser and a link is enough). Either way the model itself, and every figure it's shown, stays inside that one process.</w:t>
      </w:r>
    </w:p>
    <w:p>
      <w:r>
        <w:rPr>
          <w:b/>
          <w:sz w:val="22"/>
        </w:rPr>
        <w:t>Works regardless of source format</w:t>
      </w:r>
    </w:p>
    <w:p>
      <w:pPr>
        <w:spacing w:after="200"/>
      </w:pPr>
      <w:r>
        <w:t>PDF, Word document, or a photographed/scanned page — all get read through the same pipeline. Excel is optional and only needed if the face financial statements aren't already legible in the primary document.</w:t>
      </w:r>
    </w:p>
    <w:p>
      <w:r>
        <w:rPr>
          <w:b/>
          <w:sz w:val="22"/>
        </w:rPr>
        <w:t>Standard citations are grounded in the real text, not recalled from memory</w:t>
      </w:r>
    </w:p>
    <w:p>
      <w:pPr>
        <w:spacing w:after="200"/>
      </w:pPr>
      <w:r>
        <w:t>Every "Ind AS 7, paragraph X" reference comes from a search over the actual standards PDFs (Ind AS, AS, SA auditing standards, ICAI guidance notes — 105 documents, ~4,500 indexed passages), not from the model's training-data memory of what a standard probably says.</w:t>
      </w:r>
    </w:p>
    <w:p>
      <w:r>
        <w:rPr>
          <w:b/>
          <w:sz w:val="22"/>
        </w:rPr>
        <w:t>Cross-references notes automatically</w:t>
      </w:r>
    </w:p>
    <w:p>
      <w:pPr>
        <w:spacing w:after="200"/>
      </w:pPr>
      <w:r>
        <w:t>Built-in logic follows "refer Note X" chains across the document, so an observation about Note 7(f) can automatically pull in the content of Note 32 if 7(f) refers to it — the way a human reviewer would flip between pages.</w:t>
      </w:r>
    </w:p>
    <w:p>
      <w:r>
        <w:rPr>
          <w:b/>
          <w:sz w:val="22"/>
        </w:rPr>
        <w:t>A built-in safety check flags its own uncertain output</w:t>
      </w:r>
    </w:p>
    <w:p>
      <w:pPr>
        <w:spacing w:after="200"/>
      </w:pPr>
      <w:r>
        <w:t>After the model writes an observation, the tool automatically re-checks whether the key figures it mentioned actually match the extracted evidence, and logs a warning if not — an extra layer of quality control specific to using a smaller, free model instead of a large commercial one.</w:t>
      </w:r>
    </w:p>
    <w:p>
      <w:r>
        <w:rPr>
          <w:b/>
          <w:sz w:val="22"/>
        </w:rPr>
        <w:t>Output matches a real audit working paper, not a chat transcript</w:t>
      </w:r>
    </w:p>
    <w:p>
      <w:pPr>
        <w:spacing w:after="200"/>
      </w:pPr>
      <w:r>
        <w:t>The final deliverable is a formatted Word document — summary table, numbered observations table colour-coded by risk, key movements table, ratios table, and suggested next steps — built to the same shape as the manually prepared reference document this project started from.</w:t>
      </w:r>
    </w:p>
    <w:p/>
    <w:p>
      <w:pPr>
        <w:pStyle w:val="Heading1"/>
      </w:pPr>
      <w:r>
        <w:t>What It Actually Checks — All 36 Rules</w:t>
      </w:r>
    </w:p>
    <w:p>
      <w:r>
        <w:t>Every flag in a report traces back to one of 36 fixed, deterministic rules — the same 36 every time, on every filing. None of them involve the AI model making a judgment call; each one is a plain comparison against a company's own extracted figures or a specific phrase found in its own text. If a condition isn't met, the rule produces nothing — there's no partial credit or fuzzy scoring.</w:t>
      </w:r>
    </w:p>
    <w:p>
      <w:pPr>
        <w:pStyle w:val="Heading2"/>
      </w:pPr>
      <w:r>
        <w:t>High severity (16 rules, plus 2 that can also reach High — see below)</w:t>
      </w:r>
    </w:p>
    <w:p>
      <w:pPr>
        <w:pStyle w:val="ListBullet"/>
      </w:pPr>
      <w:r>
        <w:rPr>
          <w:b/>
        </w:rPr>
        <w:t xml:space="preserve">Negative net worth — </w:t>
      </w:r>
      <w:r>
        <w:t>The company's total equity has gone negative.</w:t>
      </w:r>
    </w:p>
    <w:p>
      <w:pPr>
        <w:pStyle w:val="ListBullet"/>
      </w:pPr>
      <w:r>
        <w:rPr>
          <w:b/>
        </w:rPr>
        <w:t xml:space="preserve">Sharp cash decline — </w:t>
      </w:r>
      <w:r>
        <w:t>Cash and bank balances fell more than 40%, and it's a big enough slice of the balance sheet to matter.</w:t>
      </w:r>
    </w:p>
    <w:p>
      <w:pPr>
        <w:pStyle w:val="ListBullet"/>
      </w:pPr>
      <w:r>
        <w:rPr>
          <w:b/>
        </w:rPr>
        <w:t xml:space="preserve">A big new balance out of nowhere — </w:t>
      </w:r>
      <w:r>
        <w:t>A line item that didn't exist last year suddenly shows up worth more than 3% of total assets.</w:t>
      </w:r>
    </w:p>
    <w:p>
      <w:pPr>
        <w:pStyle w:val="ListBullet"/>
      </w:pPr>
      <w:r>
        <w:rPr>
          <w:b/>
        </w:rPr>
        <w:t xml:space="preserve">Profit not turning into cash — </w:t>
      </w:r>
      <w:r>
        <w:t>Operating cash flow is less than 60% of reported profit — a classic earnings-quality red flag.</w:t>
      </w:r>
    </w:p>
    <w:p>
      <w:pPr>
        <w:pStyle w:val="ListBullet"/>
      </w:pPr>
      <w:r>
        <w:rPr>
          <w:b/>
        </w:rPr>
        <w:t xml:space="preserve">Cash flow statement doesn't add up — </w:t>
      </w:r>
      <w:r>
        <w:t>Opening cash plus the year's net flows doesn't equal the closing cash figure the company itself reported.</w:t>
      </w:r>
    </w:p>
    <w:p>
      <w:pPr>
        <w:pStyle w:val="ListBullet"/>
      </w:pPr>
      <w:r>
        <w:rPr>
          <w:b/>
        </w:rPr>
        <w:t xml:space="preserve">Large new lease recognised — </w:t>
      </w:r>
      <w:r>
        <w:t>Right-of-use assets more than doubled and are now a meaningful part of the balance sheet.</w:t>
      </w:r>
    </w:p>
    <w:p>
      <w:pPr>
        <w:pStyle w:val="ListBullet"/>
      </w:pPr>
      <w:r>
        <w:rPr>
          <w:b/>
        </w:rPr>
        <w:t xml:space="preserve">Contingent liabilities jumped — </w:t>
      </w:r>
      <w:r>
        <w:t>A material rise in off-balance-sheet exposure relative to equity.</w:t>
      </w:r>
    </w:p>
    <w:p>
      <w:pPr>
        <w:pStyle w:val="ListBullet"/>
      </w:pPr>
      <w:r>
        <w:rPr>
          <w:b/>
        </w:rPr>
        <w:t xml:space="preserve">Other financial assets surged — </w:t>
      </w:r>
      <w:r>
        <w:t>A sharp, material jump in this catch-all balance-sheet line.</w:t>
      </w:r>
    </w:p>
    <w:p>
      <w:pPr>
        <w:pStyle w:val="ListBullet"/>
      </w:pPr>
      <w:r>
        <w:rPr>
          <w:b/>
        </w:rPr>
        <w:t xml:space="preserve">Bad-debt provisioning jumped sharply — </w:t>
      </w:r>
      <w:r>
        <w:t>The expected credit loss allowance on receivables grew fast — an area CAG's own findings repeatedly flag.</w:t>
      </w:r>
    </w:p>
    <w:p>
      <w:pPr>
        <w:pStyle w:val="ListBullet"/>
      </w:pPr>
      <w:r>
        <w:rPr>
          <w:b/>
        </w:rPr>
        <w:t xml:space="preserve">Signs of investment impairment — </w:t>
      </w:r>
      <w:r>
        <w:t>The filing itself uses language suggesting a subsidiary/associate/JV investment has lost value.</w:t>
      </w:r>
    </w:p>
    <w:p>
      <w:pPr>
        <w:pStyle w:val="ListBullet"/>
      </w:pPr>
      <w:r>
        <w:rPr>
          <w:b/>
        </w:rPr>
        <w:t xml:space="preserve">Fraud or investigation disclosed — </w:t>
      </w:r>
      <w:r>
        <w:t>The company's own notes mention embezzlement, misappropriation, or a named regulatory/law-enforcement investigation.</w:t>
      </w:r>
    </w:p>
    <w:p>
      <w:pPr>
        <w:pStyle w:val="ListBullet"/>
      </w:pPr>
      <w:r>
        <w:rPr>
          <w:b/>
        </w:rPr>
        <w:t xml:space="preserve">Auditor gave anything less than a clean opinion — </w:t>
      </w:r>
      <w:r>
        <w:t>Qualified, Adverse, or Disclaimer of Opinion.</w:t>
      </w:r>
    </w:p>
    <w:p>
      <w:pPr>
        <w:pStyle w:val="ListBullet"/>
      </w:pPr>
      <w:r>
        <w:rPr>
          <w:b/>
        </w:rPr>
        <w:t xml:space="preserve">Auditor added an Emphasis of Matter or Going-Concern paragraph — </w:t>
      </w:r>
      <w:r>
        <w:t>A dedicated, named section auditors only include when something is genuinely worth separate attention.</w:t>
      </w:r>
    </w:p>
    <w:p>
      <w:pPr>
        <w:pStyle w:val="ListBullet"/>
      </w:pPr>
      <w:r>
        <w:rPr>
          <w:b/>
        </w:rPr>
        <w:t xml:space="preserve">CAG's own review faulted the statutory auditor — </w:t>
      </w:r>
      <w:r>
        <w:t>Not just the company — the auditor's own report was found deficient.</w:t>
      </w:r>
    </w:p>
    <w:p>
      <w:pPr>
        <w:pStyle w:val="ListBullet"/>
      </w:pPr>
      <w:r>
        <w:rPr>
          <w:b/>
        </w:rPr>
        <w:t xml:space="preserve">Filing looks like it bundles more than one company — </w:t>
      </w:r>
      <w:r>
        <w:t>Multiple company registration numbers (CINs) found in a single document.</w:t>
      </w:r>
    </w:p>
    <w:p>
      <w:pPr>
        <w:pStyle w:val="ListBullet"/>
      </w:pPr>
      <w:r>
        <w:rPr>
          <w:b/>
        </w:rPr>
        <w:t xml:space="preserve">Tax figures in the note don't add up internally — </w:t>
      </w:r>
      <w:r>
        <w:t>An arithmetic break in the company's own tax reconciliation.</w:t>
      </w:r>
    </w:p>
    <w:p>
      <w:pPr>
        <w:pStyle w:val="Heading2"/>
      </w:pPr>
      <w:r>
        <w:t>Medium severity (13 rules, plus 2 that can also land here)</w:t>
      </w:r>
    </w:p>
    <w:p>
      <w:pPr>
        <w:pStyle w:val="ListBullet"/>
      </w:pPr>
      <w:r>
        <w:rPr>
          <w:b/>
        </w:rPr>
        <w:t xml:space="preserve">Receivables and revenue are moving in different directions — </w:t>
      </w:r>
      <w:r>
        <w:t>Could mean slower collections, or aggressive revenue booking.</w:t>
      </w:r>
    </w:p>
    <w:p>
      <w:pPr>
        <w:pStyle w:val="ListBullet"/>
      </w:pPr>
      <w:r>
        <w:rPr>
          <w:b/>
        </w:rPr>
        <w:t xml:space="preserve">Payables to small businesses grew fast — </w:t>
      </w:r>
      <w:r>
        <w:t>A compliance exposure under the MSMED Act.</w:t>
      </w:r>
    </w:p>
    <w:p>
      <w:pPr>
        <w:pStyle w:val="ListBullet"/>
      </w:pPr>
      <w:r>
        <w:rPr>
          <w:b/>
        </w:rPr>
        <w:t xml:space="preserve">Large one-off prior-year tax adjustment — </w:t>
      </w:r>
      <w:r>
        <w:t>A chunky correction relative to this year's tax charge.</w:t>
      </w:r>
    </w:p>
    <w:p>
      <w:pPr>
        <w:pStyle w:val="ListBullet"/>
      </w:pPr>
      <w:r>
        <w:rPr>
          <w:b/>
        </w:rPr>
        <w:t xml:space="preserve">Profit from joint ventures/associates fell sharply — </w:t>
      </w:r>
      <w:r>
        <w:t>Can be an early impairment signal.</w:t>
      </w:r>
    </w:p>
    <w:p>
      <w:pPr>
        <w:pStyle w:val="ListBullet"/>
      </w:pPr>
      <w:r>
        <w:rPr>
          <w:b/>
        </w:rPr>
        <w:t xml:space="preserve">CSR money not fully spent — </w:t>
      </w:r>
      <w:r>
        <w:t>A Companies Act, Section 135 compliance point.</w:t>
      </w:r>
    </w:p>
    <w:p>
      <w:pPr>
        <w:pStyle w:val="ListBullet"/>
      </w:pPr>
      <w:r>
        <w:rPr>
          <w:b/>
        </w:rPr>
        <w:t xml:space="preserve">Interest is accruing on late payments to small suppliers — </w:t>
      </w:r>
      <w:r>
        <w:t>A distinct compliance signal from the payables-growth check above.</w:t>
      </w:r>
    </w:p>
    <w:p>
      <w:pPr>
        <w:pStyle w:val="ListBullet"/>
      </w:pPr>
      <w:r>
        <w:rPr>
          <w:b/>
        </w:rPr>
        <w:t xml:space="preserve">Payables to larger suppliers dropped sharply — </w:t>
      </w:r>
      <w:r>
        <w:t>Could mean an early or forced settlement.</w:t>
      </w:r>
    </w:p>
    <w:p>
      <w:pPr>
        <w:pStyle w:val="ListBullet"/>
      </w:pPr>
      <w:r>
        <w:rPr>
          <w:b/>
        </w:rPr>
        <w:t xml:space="preserve">Two lease-related notes don't agree with each other — </w:t>
      </w:r>
      <w:r>
        <w:t>A cross-check between new lease liabilities and new right-of-use assets.</w:t>
      </w:r>
    </w:p>
    <w:p>
      <w:pPr>
        <w:pStyle w:val="ListBullet"/>
      </w:pPr>
      <w:r>
        <w:rPr>
          <w:b/>
        </w:rPr>
        <w:t xml:space="preserve">Long-term liabilities jumped — </w:t>
      </w:r>
      <w:r>
        <w:t>A material shift in how the company is funded.</w:t>
      </w:r>
    </w:p>
    <w:p>
      <w:pPr>
        <w:pStyle w:val="ListBullet"/>
      </w:pPr>
      <w:r>
        <w:rPr>
          <w:b/>
        </w:rPr>
        <w:t xml:space="preserve">Fixed-asset note doesn't reconcile — </w:t>
      </w:r>
      <w:r>
        <w:t>The depreciation roll-forward in the Property, Plant &amp; Equipment note doesn't add up.</w:t>
      </w:r>
    </w:p>
    <w:p>
      <w:pPr>
        <w:pStyle w:val="ListBullet"/>
      </w:pPr>
      <w:r>
        <w:rPr>
          <w:b/>
        </w:rPr>
        <w:t xml:space="preserve">Assets are “ready to use” but still sitting in CWIP — </w:t>
      </w:r>
      <w:r>
        <w:t>Should have been moved onto the books and started depreciating.</w:t>
      </w:r>
    </w:p>
    <w:p>
      <w:pPr>
        <w:pStyle w:val="ListBullet"/>
      </w:pPr>
      <w:r>
        <w:rPr>
          <w:b/>
        </w:rPr>
        <w:t xml:space="preserve">Audit trail wasn't running the whole year — </w:t>
      </w:r>
      <w:r>
        <w:t>The company discloses the accounting software's audit-trail (edit log) wasn't continuously operational — a specific, named compliance rule (Rule 11(g)).</w:t>
      </w:r>
    </w:p>
    <w:p>
      <w:pPr>
        <w:pStyle w:val="ListBullet"/>
      </w:pPr>
      <w:r>
        <w:rPr>
          <w:b/>
        </w:rPr>
        <w:t xml:space="preserve">Title deeds not in the company's own name — </w:t>
      </w:r>
      <w:r>
        <w:t>A standard CARO disclosure that property ownership isn't clean.</w:t>
      </w:r>
    </w:p>
    <w:p>
      <w:pPr>
        <w:pStyle w:val="Heading2"/>
      </w:pPr>
      <w:r>
        <w:t>Low severity (5 rules, plus 2 that can also land here)</w:t>
      </w:r>
    </w:p>
    <w:p>
      <w:pPr>
        <w:pStyle w:val="ListBullet"/>
      </w:pPr>
      <w:r>
        <w:rPr>
          <w:b/>
        </w:rPr>
        <w:t xml:space="preserve">Actuarial assumptions changed materially — </w:t>
      </w:r>
      <w:r>
        <w:t>The discount rate used for retirement-benefit obligations moved meaningfully.</w:t>
      </w:r>
    </w:p>
    <w:p>
      <w:pPr>
        <w:pStyle w:val="ListBullet"/>
      </w:pPr>
      <w:r>
        <w:rPr>
          <w:b/>
        </w:rPr>
        <w:t xml:space="preserve">A capital project has been “in progress” for years — </w:t>
      </w:r>
      <w:r>
        <w:t>Schedule III requires ageing disclosure, and old CWIP projects are worth a second look.</w:t>
      </w:r>
    </w:p>
    <w:p>
      <w:pPr>
        <w:pStyle w:val="ListBullet"/>
      </w:pPr>
      <w:r>
        <w:rPr>
          <w:b/>
        </w:rPr>
        <w:t xml:space="preserve">Unpaid or unclaimed dividend on the books — </w:t>
      </w:r>
      <w:r>
        <w:t>Worth checking it's been transferred to the Investor Education &amp; Protection Fund on time.</w:t>
      </w:r>
    </w:p>
    <w:p>
      <w:pPr>
        <w:pStyle w:val="ListBullet"/>
      </w:pPr>
      <w:r>
        <w:rPr>
          <w:b/>
        </w:rPr>
        <w:t xml:space="preserve">CSR note and CSR bank account don't match — </w:t>
      </w:r>
      <w:r>
        <w:t>A cross-check between two places the same number should appear.</w:t>
      </w:r>
    </w:p>
    <w:p>
      <w:pPr>
        <w:pStyle w:val="ListBullet"/>
      </w:pPr>
      <w:r>
        <w:rPr>
          <w:b/>
        </w:rPr>
        <w:t xml:space="preserve">Cash flow statement's column headers look wrong — </w:t>
      </w:r>
      <w:r>
        <w:t>A labelling defect, not a real cash-flow problem — but still worth a query.</w:t>
      </w:r>
    </w:p>
    <w:p>
      <w:pPr>
        <w:pStyle w:val="Heading2"/>
      </w:pPr>
      <w:r>
        <w:t>Two rules that scale with the number, not fixed to one severity</w:t>
      </w:r>
    </w:p>
    <w:p>
      <w:r>
        <w:t>These two don't have a single fixed severity — how bad the underlying number or wording is decides whether they land High, Medium, or Low:</w:t>
      </w:r>
    </w:p>
    <w:p>
      <w:pPr>
        <w:pStyle w:val="ListBullet"/>
      </w:pPr>
      <w:r>
        <w:rPr>
          <w:b/>
        </w:rPr>
        <w:t xml:space="preserve">Any line item moving sharply year-on-year — </w:t>
      </w:r>
      <w:r>
        <w:t>Checked automatically across the entire balance sheet and P&amp;L, not just a preset list. A 20–50% move is Low, 50–80% is Medium, over 80% is High. Small-rupee-amount items are excluded so the percentage swing alone can't trigger a flag.</w:t>
      </w:r>
    </w:p>
    <w:p>
      <w:pPr>
        <w:pStyle w:val="ListBullet"/>
      </w:pPr>
      <w:r>
        <w:rPr>
          <w:b/>
        </w:rPr>
        <w:t xml:space="preserve">Unconfirmed balances — </w:t>
      </w:r>
      <w:r>
        <w:t>The company discloses receivables, payables, or loans as “subject to confirmation.” Severity depends on how the company itself worded it: High if the auditor's own report elevated it into a qualification, Medium if a specific rupee figure was given, Low otherwise.</w:t>
      </w:r>
    </w:p>
    <w:p>
      <w:pPr>
        <w:pStyle w:val="Heading1"/>
      </w:pPr>
      <w:r>
        <w:t>Where This Runs</w:t>
      </w:r>
    </w:p>
    <w:p>
      <w:pPr/>
      <w:r>
        <w:t>There are two ways to actually run this tool, and they trade off speed for convenience.</w:t>
      </w:r>
    </w:p>
    <w:p>
      <w:pPr/>
      <w:r>
        <w:t>On a Mac, directly, is the fastest way to get a report — the local mlx backend is GPU-accelerated via Apple's Metal framework.</w:t>
      </w:r>
    </w:p>
    <w:p>
      <w:pPr/>
      <w:r>
        <w:t>Hosted on Google Cloud Run needs nothing installed — open a link in any browser, upload the required document, and the whole five-layer pipeline runs in a cloud container. This is CPU-only in production (8 vCPU) across both deployed regions — a validated GPU build exists and measured an 11x speedup on narrative generation, but hasn't been cut over to live traffic given the real cost increase that requires. Because most of a report's figures are inserted directly from the template rather than retyped by the model, generation speed mainly affects how long the wait is, not report accuracy.</w:t>
      </w:r>
    </w:p>
    <w:p>
      <w:pPr/>
      <w:r>
        <w:t>Both paths run the identical five-layer pipeline and produce byte-for-byte the same kind of report — the only difference is which machine does the arithmetic and the write-up.</w:t>
      </w:r>
    </w:p>
    <w:p>
      <w:pPr>
        <w:pStyle w:val="Heading1"/>
      </w:pPr>
      <w:r>
        <w:t>Known Limitations (Worth Knowing Before Explaining This to Others)</w:t>
      </w:r>
    </w:p>
    <w:p>
      <w:pPr>
        <w:pStyle w:val="ListBullet"/>
      </w:pPr>
      <w:r>
        <w:t>This is a preliminary, desk-based analytical review — not a substitute for vouching, third-party confirmation, or management inquiry. Every generated report carries that disclaimer, and it's a real one, not boilerplate.</w:t>
      </w:r>
    </w:p>
    <w:p>
      <w:pPr>
        <w:pStyle w:val="ListBullet"/>
      </w:pPr>
      <w:r>
        <w:t>The free local model is smaller than a frontier AI model (roughly 7 billion parameters vs. hundreds of billions). Since most of a report's figures are now inserted directly from the template rather than retyped by the model, the old failure mode — occasionally mis-writing a large number, e.g. shifting a decimal point — mostly no longer applies to the observation text itself; it can still, rarely, affect the one AI-written qualifying sentence, which the built-in safety check still screens for. The underlying evidence data is always shown alongside the narrative regardless, so a reviewer can cross-check in seconds.</w:t>
      </w:r>
    </w:p>
    <w:p>
      <w:pPr>
        <w:pStyle w:val="ListBullet"/>
      </w:pPr>
      <w:r>
        <w:t>The Mac-local path (mlx-lm) is the fastest option but is Apple Silicon only. For anywhere else, the llama.cpp/GGUF backend runs the same model on ordinary CPUs — this is what the Google Cloud Run deployment uses, and it's also how a Windows/Linux machine would run this locally. Since templated generation now means the model is only called for the one optional qualifying sentence per flag rather than the whole observation, the CPU-vs-GPU speed gap matters far less in practice than it used to.</w:t>
      </w:r>
    </w:p>
    <w:p>
      <w:pPr>
        <w:pStyle w:val="ListBullet"/>
      </w:pPr>
      <w:r>
        <w:t>Extraction quality depends on how cleanly the source PDF's tables are structured. This has gotten materially more robust — pages where columns are separated by spacing rather than drawn ruling lines, which used to silently lose data, now get reconstructed from the page's own text. Two specific gaps remain known and unfixed: a note-numbering style change partway through a document can occasionally cause the note-boundary detector to swallow the wrong span (confirmed once to swallow an entire Balance Sheet/P&amp;L/Cash Flow section), and a small number of companies that report figures in two currencies side by side aren't read correctly yet.</w:t>
      </w:r>
    </w:p>
    <w:p/>
    <w:p>
      <w:r>
        <w:rPr>
          <w:i/>
          <w:color w:val="808080"/>
          <w:sz w:val="18"/>
        </w:rPr>
        <w:t>Generated as an internal explainer for audit-risk-report-generator — see README.md in the project for setup and run instructions.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