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audit-risk-report-generator</w:t>
      </w:r>
    </w:p>
    <w:p>
      <w:r>
        <w:rPr>
          <w:i/>
          <w:color w:val="555555"/>
          <w:sz w:val="24"/>
        </w:rPr>
        <w:t>Complete Technical Reference — Every Layer, Every Rule, Every Library, and Why</w:t>
      </w:r>
    </w:p>
    <w:p>
      <w:pPr>
        <w:spacing w:after="160"/>
      </w:pPr>
      <w:r>
        <w:rPr>
          <w:b w:val="0"/>
          <w:i w:val="0"/>
          <w:sz w:val="21"/>
        </w:rPr>
        <w:t>This document explains the system end to end: what each of the five pipeline layers does, exactly which library performs each step and why that library was chosen over the alternatives, every single audit rule with its precise numeric threshold, and the reasoning behind the core architectural decision that shapes everything else — keeping arithmetic and figure-extraction completely separate from the AI model.</w:t>
      </w:r>
    </w:p>
    <w:p>
      <w:r>
        <w:br w:type="page"/>
      </w:r>
    </w:p>
    <w:p>
      <w:pPr>
        <w:pStyle w:val="Heading1"/>
      </w:pPr>
      <w:r>
        <w:t>1. The Core Design Decision: Why the AI Never Touches the Numbers</w:t>
      </w:r>
    </w:p>
    <w:p>
      <w:pPr>
        <w:spacing w:after="160"/>
      </w:pPr>
      <w:r>
        <w:rPr>
          <w:b w:val="0"/>
          <w:i w:val="0"/>
          <w:sz w:val="21"/>
        </w:rPr>
        <w:t>The single decision that shapes this entire codebase: language models are not reliable at arithmetic over long, messy documents. Ask an AI chatbot to read a 78-page annual report and "find the risks," and it will occasionally invent a number, transpose two figures, or cite a paragraph of a standard that doesn't actually say what it claims. For an audit working paper, a single wrong number is disqualifying — it doesn't matter how well-written the sentence around it is.</w:t>
      </w:r>
    </w:p>
    <w:p>
      <w:pPr>
        <w:spacing w:after="160"/>
      </w:pPr>
      <w:r>
        <w:rPr>
          <w:b w:val="0"/>
          <w:i w:val="0"/>
          <w:sz w:val="21"/>
        </w:rPr>
        <w:t>So the system is split into two halves that never overlap:</w:t>
      </w:r>
    </w:p>
    <w:p>
      <w:pPr>
        <w:pStyle w:val="ListBullet"/>
      </w:pPr>
      <w:r>
        <w:rPr>
          <w:b/>
        </w:rPr>
        <w:t xml:space="preserve">Plain, deterministic Python code (Layers 1–4) </w:t>
      </w:r>
      <w:r>
        <w:t>does every number extraction, every comparison, every threshold check, and every ratio calculation. This runs identically on the same input every time — there is nothing here that can hallucinate, because there is no model involved at all. This is Layers 1 through 4.</w:t>
      </w:r>
    </w:p>
    <w:p>
      <w:pPr>
        <w:pStyle w:val="ListBullet"/>
      </w:pPr>
      <w:r>
        <w:rPr>
          <w:b/>
        </w:rPr>
        <w:t>A local AI model writes, at most, one sentence (Layer 5) For most flags it writes nothing at all: the observation and recommendation are built from a template using the flag's own evidence. Where a model call still happens, it's narrower than before — given the templated fact and the company's actual note text, decide whether the note explains it, and add one qualifying sentence only if it doesn't. See Section 8.</w:t>
      </w:r>
      <w:r/>
    </w:p>
    <w:p>
      <w:pPr>
        <w:spacing w:after="160"/>
      </w:pPr>
      <w:r>
        <w:rPr>
          <w:b w:val="0"/>
          <w:i w:val="0"/>
          <w:sz w:val="21"/>
        </w:rPr>
        <w:t>Every rating (High / Medium / Low) is also decided entirely by Layer 4's fixed rules — the model is told the severity after the fact and asked to echo it, never asked to judge it itself. Section 5 below lists every single rule.</w:t>
      </w:r>
    </w:p>
    <w:p>
      <w:r>
        <w:br w:type="page"/>
      </w:r>
    </w:p>
    <w:p>
      <w:pPr>
        <w:pStyle w:val="Heading1"/>
      </w:pPr>
      <w:r>
        <w:t>2. Full Tech Stack — Every Library and Why</w:t>
      </w:r>
    </w:p>
    <w:p>
      <w:pPr>
        <w:spacing w:after="160"/>
      </w:pPr>
      <w:r>
        <w:rPr>
          <w:b w:val="0"/>
          <w:i w:val="0"/>
          <w:sz w:val="21"/>
        </w:rPr>
        <w:t>Python 3.11+ throughout, no JavaScript, no separate frontend server — the UI, the analysis engine, and the AI model all run in one Python process.</w:t>
      </w:r>
    </w:p>
    <w:p>
      <w:pPr>
        <w:pStyle w:val="Heading2"/>
      </w:pPr>
      <w:r>
        <w:t>Application &amp; data</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19"/>
              </w:rPr>
              <w:t>Library</w:t>
            </w:r>
          </w:p>
        </w:tc>
        <w:tc>
          <w:tcPr>
            <w:tcW w:type="dxa" w:w="2880"/>
            <w:shd w:val="clear" w:color="auto" w:fill="2F5496"/>
          </w:tcPr>
          <w:p>
            <w:r/>
            <w:r>
              <w:rPr>
                <w:b/>
                <w:color w:val="FFFFFF"/>
                <w:sz w:val="19"/>
              </w:rPr>
              <w:t>Role</w:t>
            </w:r>
          </w:p>
        </w:tc>
        <w:tc>
          <w:tcPr>
            <w:tcW w:type="dxa" w:w="2880"/>
            <w:shd w:val="clear" w:color="auto" w:fill="2F5496"/>
          </w:tcPr>
          <w:p>
            <w:r/>
            <w:r>
              <w:rPr>
                <w:b/>
                <w:color w:val="FFFFFF"/>
                <w:sz w:val="19"/>
              </w:rPr>
              <w:t>Why this one</w:t>
            </w:r>
          </w:p>
        </w:tc>
      </w:tr>
      <w:tr>
        <w:tc>
          <w:tcPr>
            <w:tcW w:type="dxa" w:w="2880"/>
          </w:tcPr>
          <w:p>
            <w:r/>
            <w:r>
              <w:rPr>
                <w:b w:val="0"/>
                <w:sz w:val="18"/>
              </w:rPr>
              <w:t>streamlit</w:t>
            </w:r>
          </w:p>
        </w:tc>
        <w:tc>
          <w:tcPr>
            <w:tcW w:type="dxa" w:w="2880"/>
          </w:tcPr>
          <w:p>
            <w:r/>
            <w:r>
              <w:rPr>
                <w:b w:val="0"/>
                <w:sz w:val="18"/>
              </w:rPr>
              <w:t>The entire UI — file upload, progress display, tabs, report rendering, DOCX download.</w:t>
            </w:r>
          </w:p>
        </w:tc>
        <w:tc>
          <w:tcPr>
            <w:tcW w:type="dxa" w:w="2880"/>
          </w:tcPr>
          <w:p>
            <w:r/>
            <w:r>
              <w:rPr>
                <w:b w:val="0"/>
                <w:sz w:val="18"/>
              </w:rPr>
              <w:t>Purpose-built for exactly this shape of app: upload → process → tabbed report. Writing the same UI in a JS framework would need a separate frontend build, an API layer, and a second language — Streamlit needs none of that.</w:t>
            </w:r>
          </w:p>
        </w:tc>
      </w:tr>
      <w:tr>
        <w:tc>
          <w:tcPr>
            <w:tcW w:type="dxa" w:w="2880"/>
          </w:tcPr>
          <w:p>
            <w:r/>
            <w:r>
              <w:rPr>
                <w:b w:val="0"/>
                <w:sz w:val="18"/>
              </w:rPr>
              <w:t>pydantic</w:t>
            </w:r>
          </w:p>
        </w:tc>
        <w:tc>
          <w:tcPr>
            <w:tcW w:type="dxa" w:w="2880"/>
          </w:tcPr>
          <w:p>
            <w:r/>
            <w:r>
              <w:rPr>
                <w:b w:val="0"/>
                <w:sz w:val="18"/>
              </w:rPr>
              <w:t>Every data structure passed between layers (extracted pages, mapped line items, flags, the final report) is a typed, validated model.</w:t>
            </w:r>
          </w:p>
        </w:tc>
        <w:tc>
          <w:tcPr>
            <w:tcW w:type="dxa" w:w="2880"/>
          </w:tcPr>
          <w:p>
            <w:r/>
            <w:r>
              <w:rPr>
                <w:b w:val="0"/>
                <w:sz w:val="18"/>
              </w:rPr>
              <w:t>Layers only trust data that already matches its declared shape — a malformed number or a missing field fails loudly and immediately, not silently three layers later.</w:t>
            </w:r>
          </w:p>
        </w:tc>
      </w:tr>
      <w:tr>
        <w:tc>
          <w:tcPr>
            <w:tcW w:type="dxa" w:w="2880"/>
          </w:tcPr>
          <w:p>
            <w:r/>
            <w:r>
              <w:rPr>
                <w:b w:val="0"/>
                <w:sz w:val="18"/>
              </w:rPr>
              <w:t>python-dotenv</w:t>
            </w:r>
          </w:p>
        </w:tc>
        <w:tc>
          <w:tcPr>
            <w:tcW w:type="dxa" w:w="2880"/>
          </w:tcPr>
          <w:p>
            <w:r/>
            <w:r>
              <w:rPr>
                <w:b w:val="0"/>
                <w:sz w:val="18"/>
              </w:rPr>
              <w:t>Reads configuration (paths, model name) from a .env file.</w:t>
            </w:r>
          </w:p>
        </w:tc>
        <w:tc>
          <w:tcPr>
            <w:tcW w:type="dxa" w:w="2880"/>
          </w:tcPr>
          <w:p>
            <w:r/>
            <w:r>
              <w:rPr>
                <w:b w:val="0"/>
                <w:sz w:val="18"/>
              </w:rPr>
              <w:t>Standard, minimal way to keep configuration out of source code without adding a heavier config framework.</w:t>
            </w:r>
          </w:p>
        </w:tc>
      </w:tr>
      <w:tr>
        <w:tc>
          <w:tcPr>
            <w:tcW w:type="dxa" w:w="2880"/>
          </w:tcPr>
          <w:p>
            <w:r/>
            <w:r>
              <w:rPr>
                <w:b w:val="0"/>
                <w:sz w:val="18"/>
              </w:rPr>
              <w:t>loguru</w:t>
            </w:r>
          </w:p>
        </w:tc>
        <w:tc>
          <w:tcPr>
            <w:tcW w:type="dxa" w:w="2880"/>
          </w:tcPr>
          <w:p>
            <w:r/>
            <w:r>
              <w:rPr>
                <w:b w:val="0"/>
                <w:sz w:val="18"/>
              </w:rPr>
              <w:t>Structured logging throughout every layer (extraction failures, unmapped line items, generated-text sanity warnings).</w:t>
            </w:r>
          </w:p>
        </w:tc>
        <w:tc>
          <w:tcPr>
            <w:tcW w:type="dxa" w:w="2880"/>
          </w:tcPr>
          <w:p>
            <w:r/>
            <w:r>
              <w:rPr>
                <w:b w:val="0"/>
                <w:sz w:val="18"/>
              </w:rPr>
              <w:t>Cleaner API than Python's built-in logging module for a project this size, with less boilerplate to get readable, leveled log output.</w:t>
            </w:r>
          </w:p>
        </w:tc>
      </w:tr>
    </w:tbl>
    <w:p>
      <w:pPr>
        <w:pStyle w:val="Heading2"/>
      </w:pPr>
      <w:r>
        <w:t>Document extraction (Layer 1)</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19"/>
              </w:rPr>
              <w:t>Library</w:t>
            </w:r>
          </w:p>
        </w:tc>
        <w:tc>
          <w:tcPr>
            <w:tcW w:type="dxa" w:w="2880"/>
            <w:shd w:val="clear" w:color="auto" w:fill="2F5496"/>
          </w:tcPr>
          <w:p>
            <w:r/>
            <w:r>
              <w:rPr>
                <w:b/>
                <w:color w:val="FFFFFF"/>
                <w:sz w:val="19"/>
              </w:rPr>
              <w:t>Role</w:t>
            </w:r>
          </w:p>
        </w:tc>
        <w:tc>
          <w:tcPr>
            <w:tcW w:type="dxa" w:w="2880"/>
            <w:shd w:val="clear" w:color="auto" w:fill="2F5496"/>
          </w:tcPr>
          <w:p>
            <w:r/>
            <w:r>
              <w:rPr>
                <w:b/>
                <w:color w:val="FFFFFF"/>
                <w:sz w:val="19"/>
              </w:rPr>
              <w:t>Why this one</w:t>
            </w:r>
          </w:p>
        </w:tc>
      </w:tr>
      <w:tr>
        <w:tc>
          <w:tcPr>
            <w:tcW w:type="dxa" w:w="2880"/>
          </w:tcPr>
          <w:p>
            <w:r/>
            <w:r>
              <w:rPr>
                <w:b w:val="0"/>
                <w:sz w:val="18"/>
              </w:rPr>
              <w:t>pdfplumber</w:t>
            </w:r>
          </w:p>
        </w:tc>
        <w:tc>
          <w:tcPr>
            <w:tcW w:type="dxa" w:w="2880"/>
          </w:tcPr>
          <w:p>
            <w:r/>
            <w:r>
              <w:rPr>
                <w:b w:val="0"/>
                <w:sz w:val="18"/>
              </w:rPr>
              <w:t>Extracts text and tables from typed (non-scanned) PDF pages, including the two-pass table-detection strategy (line-based, then text-based fallback).</w:t>
            </w:r>
          </w:p>
        </w:tc>
        <w:tc>
          <w:tcPr>
            <w:tcW w:type="dxa" w:w="2880"/>
          </w:tcPr>
          <w:p>
            <w:r/>
            <w:r>
              <w:rPr>
                <w:b w:val="0"/>
                <w:sz w:val="18"/>
              </w:rPr>
              <w:t>The most reliable pure-Python PDF table extractor for real-world, inconsistently formatted financial-statement tables — better table geometry detection than PyPDF2/pypdf for this use case.</w:t>
            </w:r>
          </w:p>
        </w:tc>
      </w:tr>
      <w:tr>
        <w:tc>
          <w:tcPr>
            <w:tcW w:type="dxa" w:w="2880"/>
          </w:tcPr>
          <w:p>
            <w:r/>
            <w:r>
              <w:rPr>
                <w:b w:val="0"/>
                <w:sz w:val="18"/>
              </w:rPr>
              <w:t>PaddleOCR + PaddlePaddle</w:t>
            </w:r>
          </w:p>
        </w:tc>
        <w:tc>
          <w:tcPr>
            <w:tcW w:type="dxa" w:w="2880"/>
          </w:tcPr>
          <w:p>
            <w:r/>
            <w:r>
              <w:rPr>
                <w:b w:val="0"/>
                <w:sz w:val="18"/>
              </w:rPr>
              <w:t>Optical character recognition for scanned PDF pages and standalone photographed/scanned image uploads.</w:t>
            </w:r>
          </w:p>
        </w:tc>
        <w:tc>
          <w:tcPr>
            <w:tcW w:type="dxa" w:w="2880"/>
          </w:tcPr>
          <w:p>
            <w:r/>
            <w:r>
              <w:rPr>
                <w:b w:val="0"/>
                <w:sz w:val="18"/>
              </w:rPr>
              <w:t>Strong open-source OCR accuracy on structured documents, and it's free/local — no per-page OCR API cost, no document leaving the machine.</w:t>
            </w:r>
          </w:p>
        </w:tc>
      </w:tr>
      <w:tr>
        <w:tc>
          <w:tcPr>
            <w:tcW w:type="dxa" w:w="2880"/>
          </w:tcPr>
          <w:p>
            <w:r/>
            <w:r>
              <w:rPr>
                <w:b w:val="0"/>
                <w:sz w:val="18"/>
              </w:rPr>
              <w:t>pdf2image</w:t>
            </w:r>
          </w:p>
        </w:tc>
        <w:tc>
          <w:tcPr>
            <w:tcW w:type="dxa" w:w="2880"/>
          </w:tcPr>
          <w:p>
            <w:r/>
            <w:r>
              <w:rPr>
                <w:b w:val="0"/>
                <w:sz w:val="18"/>
              </w:rPr>
              <w:t>Rasterizes scanned PDF pages into images so PaddleOCR can read them.</w:t>
            </w:r>
          </w:p>
        </w:tc>
        <w:tc>
          <w:tcPr>
            <w:tcW w:type="dxa" w:w="2880"/>
          </w:tcPr>
          <w:p>
            <w:r/>
            <w:r>
              <w:rPr>
                <w:b w:val="0"/>
                <w:sz w:val="18"/>
              </w:rPr>
              <w:t>Thin, standard wrapper around Poppler for exactly this conversion step.</w:t>
            </w:r>
          </w:p>
        </w:tc>
      </w:tr>
      <w:tr>
        <w:tc>
          <w:tcPr>
            <w:tcW w:type="dxa" w:w="2880"/>
          </w:tcPr>
          <w:p>
            <w:r/>
            <w:r>
              <w:rPr>
                <w:b w:val="0"/>
                <w:sz w:val="18"/>
              </w:rPr>
              <w:t>Pillow (PIL)</w:t>
            </w:r>
          </w:p>
        </w:tc>
        <w:tc>
          <w:tcPr>
            <w:tcW w:type="dxa" w:w="2880"/>
          </w:tcPr>
          <w:p>
            <w:r/>
            <w:r>
              <w:rPr>
                <w:b w:val="0"/>
                <w:sz w:val="18"/>
              </w:rPr>
              <w:t>Opens and normalizes standalone image uploads before they're handed to PaddleOCR.</w:t>
            </w:r>
          </w:p>
        </w:tc>
        <w:tc>
          <w:tcPr>
            <w:tcW w:type="dxa" w:w="2880"/>
          </w:tcPr>
          <w:p>
            <w:r/>
            <w:r>
              <w:rPr>
                <w:b w:val="0"/>
                <w:sz w:val="18"/>
              </w:rPr>
              <w:t>The standard Python imaging library — no reason to use anything else for basic image I/O.</w:t>
            </w:r>
          </w:p>
        </w:tc>
      </w:tr>
      <w:tr>
        <w:tc>
          <w:tcPr>
            <w:tcW w:type="dxa" w:w="2880"/>
          </w:tcPr>
          <w:p>
            <w:r/>
            <w:r>
              <w:rPr>
                <w:b w:val="0"/>
                <w:sz w:val="18"/>
              </w:rPr>
              <w:t>openpyxl</w:t>
            </w:r>
          </w:p>
        </w:tc>
        <w:tc>
          <w:tcPr>
            <w:tcW w:type="dxa" w:w="2880"/>
          </w:tcPr>
          <w:p>
            <w:r/>
            <w:r>
              <w:rPr>
                <w:b w:val="0"/>
                <w:sz w:val="18"/>
              </w:rPr>
              <w:t>Reads Excel workbooks cell by cell, including resolving merged cells and extracting cell comments.</w:t>
            </w:r>
          </w:p>
        </w:tc>
        <w:tc>
          <w:tcPr>
            <w:tcW w:type="dxa" w:w="2880"/>
          </w:tcPr>
          <w:p>
            <w:r/>
            <w:r>
              <w:rPr>
                <w:b w:val="0"/>
                <w:sz w:val="18"/>
              </w:rPr>
              <w:t>The library with the most complete support for reading real-world .xlsx structure, including things pandas' Excel reader doesn't expose, like cell comments and merged-range metadata.</w:t>
            </w:r>
          </w:p>
        </w:tc>
      </w:tr>
      <w:tr>
        <w:tc>
          <w:tcPr>
            <w:tcW w:type="dxa" w:w="2880"/>
          </w:tcPr>
          <w:p>
            <w:r/>
            <w:r>
              <w:rPr>
                <w:b w:val="0"/>
                <w:sz w:val="18"/>
              </w:rPr>
              <w:t>pandas</w:t>
            </w:r>
          </w:p>
        </w:tc>
        <w:tc>
          <w:tcPr>
            <w:tcW w:type="dxa" w:w="2880"/>
          </w:tcPr>
          <w:p>
            <w:r/>
            <w:r>
              <w:rPr>
                <w:b w:val="0"/>
                <w:sz w:val="18"/>
              </w:rPr>
              <w:t>Used alongside openpyxl for tabular data handling in the UI layer (building the movements/ratios tables shown in Streamlit).</w:t>
            </w:r>
          </w:p>
        </w:tc>
        <w:tc>
          <w:tcPr>
            <w:tcW w:type="dxa" w:w="2880"/>
          </w:tcPr>
          <w:p>
            <w:r/>
            <w:r>
              <w:rPr>
                <w:b w:val="0"/>
                <w:sz w:val="18"/>
              </w:rPr>
              <w:t>The standard way to build and format small tabular datasets for display.</w:t>
            </w:r>
          </w:p>
        </w:tc>
      </w:tr>
      <w:tr>
        <w:tc>
          <w:tcPr>
            <w:tcW w:type="dxa" w:w="2880"/>
          </w:tcPr>
          <w:p>
            <w:r/>
            <w:r>
              <w:rPr>
                <w:b w:val="0"/>
                <w:sz w:val="18"/>
              </w:rPr>
              <w:t>mammoth</w:t>
            </w:r>
          </w:p>
        </w:tc>
        <w:tc>
          <w:tcPr>
            <w:tcW w:type="dxa" w:w="2880"/>
          </w:tcPr>
          <w:p>
            <w:r/>
            <w:r>
              <w:rPr>
                <w:b w:val="0"/>
                <w:sz w:val="18"/>
              </w:rPr>
              <w:t>Extracts raw text from Word (.docx) documents.</w:t>
            </w:r>
          </w:p>
        </w:tc>
        <w:tc>
          <w:tcPr>
            <w:tcW w:type="dxa" w:w="2880"/>
          </w:tcPr>
          <w:p>
            <w:r/>
            <w:r>
              <w:rPr>
                <w:b w:val="0"/>
                <w:sz w:val="18"/>
              </w:rPr>
              <w:t>Purpose-built, minimal library for exactly this — converts Word content without needing Microsoft Word or a heavier document-conversion suite.</w:t>
            </w:r>
          </w:p>
        </w:tc>
      </w:tr>
      <w:tr>
        <w:tc>
          <w:tcPr>
            <w:tcW w:type="dxa" w:w="2880"/>
          </w:tcPr>
          <w:p>
            <w:r/>
            <w:r>
              <w:rPr>
                <w:b w:val="0"/>
                <w:sz w:val="18"/>
              </w:rPr>
              <w:t>python-docx</w:t>
            </w:r>
          </w:p>
        </w:tc>
        <w:tc>
          <w:tcPr>
            <w:tcW w:type="dxa" w:w="2880"/>
          </w:tcPr>
          <w:p>
            <w:r/>
            <w:r>
              <w:rPr>
                <w:b w:val="0"/>
                <w:sz w:val="18"/>
              </w:rPr>
              <w:t>Reads structured tables out of Word documents (for financial data supplied as .docx), and separately writes the final formatted DOCX report.</w:t>
            </w:r>
          </w:p>
        </w:tc>
        <w:tc>
          <w:tcPr>
            <w:tcW w:type="dxa" w:w="2880"/>
          </w:tcPr>
          <w:p>
            <w:r/>
            <w:r>
              <w:rPr>
                <w:b w:val="0"/>
                <w:sz w:val="18"/>
              </w:rPr>
              <w:t>The standard library for both reading and writing .docx — used on both ends of the pipeline: extracting input tables, and producing the exported report.</w:t>
            </w:r>
          </w:p>
        </w:tc>
      </w:tr>
    </w:tbl>
    <w:p>
      <w:pPr>
        <w:pStyle w:val="Heading2"/>
      </w:pPr>
      <w:r>
        <w:t>Text matching, embeddings, and the vector index (Layers 3 &amp; 5)</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19"/>
              </w:rPr>
              <w:t>Library</w:t>
            </w:r>
          </w:p>
        </w:tc>
        <w:tc>
          <w:tcPr>
            <w:tcW w:type="dxa" w:w="2880"/>
            <w:shd w:val="clear" w:color="auto" w:fill="2F5496"/>
          </w:tcPr>
          <w:p>
            <w:r/>
            <w:r>
              <w:rPr>
                <w:b/>
                <w:color w:val="FFFFFF"/>
                <w:sz w:val="19"/>
              </w:rPr>
              <w:t>Role</w:t>
            </w:r>
          </w:p>
        </w:tc>
        <w:tc>
          <w:tcPr>
            <w:tcW w:type="dxa" w:w="2880"/>
            <w:shd w:val="clear" w:color="auto" w:fill="2F5496"/>
          </w:tcPr>
          <w:p>
            <w:r/>
            <w:r>
              <w:rPr>
                <w:b/>
                <w:color w:val="FFFFFF"/>
                <w:sz w:val="19"/>
              </w:rPr>
              <w:t>Why this one</w:t>
            </w:r>
          </w:p>
        </w:tc>
      </w:tr>
      <w:tr>
        <w:tc>
          <w:tcPr>
            <w:tcW w:type="dxa" w:w="2880"/>
          </w:tcPr>
          <w:p>
            <w:r/>
            <w:r>
              <w:rPr>
                <w:b w:val="0"/>
                <w:sz w:val="18"/>
              </w:rPr>
              <w:t>rapidfuzz</w:t>
            </w:r>
          </w:p>
        </w:tc>
        <w:tc>
          <w:tcPr>
            <w:tcW w:type="dxa" w:w="2880"/>
          </w:tcPr>
          <w:p>
            <w:r/>
            <w:r>
              <w:rPr>
                <w:b w:val="0"/>
                <w:sz w:val="18"/>
              </w:rPr>
              <w:t>Stage 2 of line-item label matching — fuzzy string similarity between a company's own label text and the canonical chart-of-accounts names.</w:t>
            </w:r>
          </w:p>
        </w:tc>
        <w:tc>
          <w:tcPr>
            <w:tcW w:type="dxa" w:w="2880"/>
          </w:tcPr>
          <w:p>
            <w:r/>
            <w:r>
              <w:rPr>
                <w:b w:val="0"/>
                <w:sz w:val="18"/>
              </w:rPr>
              <w:t>A fast, C-accelerated fuzzy-matching library; noticeably quicker than pure-Python alternatives like fuzzywuzzy at the same accuracy, which matters when scanning hundreds of line items per document.</w:t>
            </w:r>
          </w:p>
        </w:tc>
      </w:tr>
      <w:tr>
        <w:tc>
          <w:tcPr>
            <w:tcW w:type="dxa" w:w="2880"/>
          </w:tcPr>
          <w:p>
            <w:r/>
            <w:r>
              <w:rPr>
                <w:b w:val="0"/>
                <w:sz w:val="18"/>
              </w:rPr>
              <w:t>sentence-transformers (BAAI/bge-m3)</w:t>
            </w:r>
          </w:p>
        </w:tc>
        <w:tc>
          <w:tcPr>
            <w:tcW w:type="dxa" w:w="2880"/>
          </w:tcPr>
          <w:p>
            <w:r/>
            <w:r>
              <w:rPr>
                <w:b w:val="0"/>
                <w:sz w:val="18"/>
              </w:rPr>
              <w:t>Stage 3 of line-item label matching (semantic similarity for labels that don't match well by fuzzy text alone), and separately embeds every chunk of the standards corpus for search.</w:t>
            </w:r>
          </w:p>
        </w:tc>
        <w:tc>
          <w:tcPr>
            <w:tcW w:type="dxa" w:w="2880"/>
          </w:tcPr>
          <w:p>
            <w:r/>
            <w:r>
              <w:rPr>
                <w:b w:val="0"/>
                <w:sz w:val="18"/>
              </w:rPr>
              <w:t>bge-m3 is a strong general-purpose multilingual embedding model, open-weight and free to run locally — no per-embedding API cost for indexing thousands of standards passages or for every line-item label comparison.</w:t>
            </w:r>
          </w:p>
        </w:tc>
      </w:tr>
      <w:tr>
        <w:tc>
          <w:tcPr>
            <w:tcW w:type="dxa" w:w="2880"/>
          </w:tcPr>
          <w:p>
            <w:r/>
            <w:r>
              <w:rPr>
                <w:b w:val="0"/>
                <w:sz w:val="18"/>
              </w:rPr>
              <w:t>chromadb</w:t>
            </w:r>
          </w:p>
        </w:tc>
        <w:tc>
          <w:tcPr>
            <w:tcW w:type="dxa" w:w="2880"/>
          </w:tcPr>
          <w:p>
            <w:r/>
            <w:r>
              <w:rPr>
                <w:b w:val="0"/>
                <w:sz w:val="18"/>
              </w:rPr>
              <w:t>Stores the embedded standards corpus and serves the similarity search that retrieves the actual standard text for each triggered flag.</w:t>
            </w:r>
          </w:p>
        </w:tc>
        <w:tc>
          <w:tcPr>
            <w:tcW w:type="dxa" w:w="2880"/>
          </w:tcPr>
          <w:p>
            <w:r/>
            <w:r>
              <w:rPr>
                <w:b w:val="0"/>
                <w:sz w:val="18"/>
              </w:rPr>
              <w:t>A lightweight, embedded (no separate server process) vector database — appropriate for a corpus of a few thousand chunks running on one machine, without the operational overhead of a hosted vector DB.</w:t>
            </w:r>
          </w:p>
        </w:tc>
      </w:tr>
      <w:tr>
        <w:tc>
          <w:tcPr>
            <w:tcW w:type="dxa" w:w="2880"/>
          </w:tcPr>
          <w:p>
            <w:r/>
            <w:r>
              <w:rPr>
                <w:b w:val="0"/>
                <w:sz w:val="18"/>
              </w:rPr>
              <w:t>networkx</w:t>
            </w:r>
          </w:p>
        </w:tc>
        <w:tc>
          <w:tcPr>
            <w:tcW w:type="dxa" w:w="2880"/>
          </w:tcPr>
          <w:p>
            <w:r/>
            <w:r>
              <w:rPr>
                <w:b w:val="0"/>
                <w:sz w:val="18"/>
              </w:rPr>
              <w:t>Builds the directed graph of "refer Note X" cross-references between notes.</w:t>
            </w:r>
          </w:p>
        </w:tc>
        <w:tc>
          <w:tcPr>
            <w:tcW w:type="dxa" w:w="2880"/>
          </w:tcPr>
          <w:p>
            <w:r/>
            <w:r>
              <w:rPr>
                <w:b w:val="0"/>
                <w:sz w:val="18"/>
              </w:rPr>
              <w:t>The standard Python graph library — note cross-referencing is a small, well-defined graph traversal problem it handles directly with no extra machinery.</w:t>
            </w:r>
          </w:p>
        </w:tc>
      </w:tr>
    </w:tbl>
    <w:p>
      <w:pPr>
        <w:pStyle w:val="Heading2"/>
      </w:pPr>
      <w:r>
        <w:t>Local AI model (Layer 5)</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19"/>
              </w:rPr>
              <w:t>Library</w:t>
            </w:r>
          </w:p>
        </w:tc>
        <w:tc>
          <w:tcPr>
            <w:tcW w:type="dxa" w:w="2880"/>
            <w:shd w:val="clear" w:color="auto" w:fill="2F5496"/>
          </w:tcPr>
          <w:p>
            <w:r/>
            <w:r>
              <w:rPr>
                <w:b/>
                <w:color w:val="FFFFFF"/>
                <w:sz w:val="19"/>
              </w:rPr>
              <w:t>Role</w:t>
            </w:r>
          </w:p>
        </w:tc>
        <w:tc>
          <w:tcPr>
            <w:tcW w:type="dxa" w:w="2880"/>
            <w:shd w:val="clear" w:color="auto" w:fill="2F5496"/>
          </w:tcPr>
          <w:p>
            <w:r/>
            <w:r>
              <w:rPr>
                <w:b/>
                <w:color w:val="FFFFFF"/>
                <w:sz w:val="19"/>
              </w:rPr>
              <w:t>Why this one</w:t>
            </w:r>
          </w:p>
        </w:tc>
      </w:tr>
      <w:tr>
        <w:tc>
          <w:tcPr>
            <w:tcW w:type="dxa" w:w="2880"/>
          </w:tcPr>
          <w:p>
            <w:r/>
            <w:r>
              <w:rPr>
                <w:b w:val="0"/>
                <w:sz w:val="18"/>
              </w:rPr>
              <w:t>mlx-lm</w:t>
            </w:r>
          </w:p>
        </w:tc>
        <w:tc>
          <w:tcPr>
            <w:tcW w:type="dxa" w:w="2880"/>
          </w:tcPr>
          <w:p>
            <w:r/>
            <w:r>
              <w:rPr>
                <w:b w:val="0"/>
                <w:sz w:val="18"/>
              </w:rPr>
              <w:t>Runs the local language model (Qwen2.5-7B-Instruct, 4-bit quantized) entirely in-process on Apple Silicon, using Apple's Metal GPU via unified memory.</w:t>
            </w:r>
          </w:p>
        </w:tc>
        <w:tc>
          <w:tcPr>
            <w:tcW w:type="dxa" w:w="2880"/>
          </w:tcPr>
          <w:p>
            <w:r/>
            <w:r>
              <w:rPr>
                <w:b w:val="0"/>
                <w:sz w:val="18"/>
              </w:rPr>
              <w:t>The only realistic way to get genuine 4-bit-quantized memory savings and Metal acceleration for a 7B model on this Mac. Plain Hugging Face transformers at full precision would need ~15GB just for weights — too tight alongside everything else running. mlx-lm keeps the same model to about 4.8GB peak memory, measured directly during testing.</w:t>
            </w:r>
          </w:p>
        </w:tc>
      </w:tr>
    </w:tbl>
    <w:p>
      <w:pPr>
        <w:spacing w:after="160"/>
      </w:pPr>
      <w:r>
        <w:rPr>
          <w:b w:val="0"/>
          <w:i/>
          <w:sz w:val="20"/>
        </w:rPr>
        <w:t>Model choice: Qwen2.5-7B-Instruct was picked over Llama 3.1 8B and Phi-4 14B after comparing structured-JSON output reliability at this parameter scale — Qwen2.5 is widely regarded as the strongest small open model specifically at following strict output-format instructions, which this system depends on for every single generation call.</w:t>
      </w:r>
    </w:p>
    <w:p>
      <w:pPr>
        <w:pStyle w:val="Heading2"/>
      </w:pPr>
      <w:r>
        <w:t>Standards corpus</w:t>
      </w:r>
    </w:p>
    <w:p>
      <w:pPr>
        <w:spacing w:after="160"/>
      </w:pPr>
      <w:r>
        <w:rPr>
          <w:b w:val="0"/>
          <w:i w:val="0"/>
          <w:sz w:val="21"/>
        </w:rPr>
        <w:t>105 PDF documents (Ind AS, AS, SA auditing standards, ICAI guidance notes, supplied as ZIP archives) are chunked into ~500-token passages with 100-token overlap, embedded, and indexed once via scripts/setup_standards.py — 4,464 chunks total. The indexing script is idempotent: re-running it skips every already-indexed file (verified — a re-run completed in 7.4 seconds instead of ~25 minutes, with zero duplicate chunks).</w:t>
      </w:r>
    </w:p>
    <w:p>
      <w:r>
        <w:br w:type="page"/>
      </w:r>
    </w:p>
    <w:p>
      <w:pPr>
        <w:pStyle w:val="Heading1"/>
      </w:pPr>
      <w:r>
        <w:t>3. Layer 1 — Extraction</w:t>
      </w:r>
    </w:p>
    <w:p>
      <w:pPr>
        <w:spacing w:after="160"/>
      </w:pPr>
      <w:r>
        <w:rPr>
          <w:b w:val="0"/>
          <w:i w:val="0"/>
          <w:sz w:val="21"/>
        </w:rPr>
        <w:t>Every source format converges to the same internal shape (an ExtractedDocument: pages of raw text plus any tables found on that page) so every later layer works identically regardless of whether the input was a PDF, a Word document, or a photographed page.</w:t>
      </w:r>
    </w:p>
    <w:p>
      <w:pPr>
        <w:pStyle w:val="Heading2"/>
      </w:pPr>
      <w:r>
        <w:t>PDF handling</w:t>
      </w:r>
    </w:p>
    <w:p>
      <w:pPr>
        <w:pStyle w:val="ListBullet"/>
      </w:pPr>
      <w:r>
        <w:rPr>
          <w:b/>
        </w:rPr>
        <w:t xml:space="preserve">Typed vs. scanned detection — </w:t>
      </w:r>
      <w:r>
        <w:t>checks whether at least 3 of the first 5 pages contain more than 50 characters of extractable text. If yes, the PDF is treated as typed; if no, it's treated as scanned and routed to OCR.</w:t>
      </w:r>
    </w:p>
    <w:p>
      <w:pPr>
        <w:pStyle w:val="ListBullet"/>
      </w:pPr>
      <w:r>
        <w:rPr>
          <w:b/>
        </w:rPr>
        <w:t>Table extraction, three attempts — for each page, pdfplumber tries table extraction with a line-based strategy first (looking for actual ruled table borders); if that finds nothing, it retries with a text-based strategy (inferring column boundaries from text alignment, for tables with no visible ruling). If both of those return a structurally-shaped table whose label column comes back empty for every row — confirmed on a real filing where the underlying PDF separates columns by whitespace alignment in a way neither pdfplumber strategy resolves correctly — a third fallback reconstructs the table line-by-line directly from the page's plain text instead, which is unaffected by either failure mode.</w:t>
      </w:r>
      <w:r/>
    </w:p>
    <w:p>
      <w:pPr>
        <w:pStyle w:val="ListBullet"/>
      </w:pPr>
      <w:r>
        <w:rPr>
          <w:b/>
        </w:rPr>
        <w:t xml:space="preserve">Table cleaning — </w:t>
      </w:r>
      <w:r>
        <w:t>blank rows are dropped, and a repeated header row appearing mid-table (common when a table spans a page break and pdfplumber re-detects the header) is removed.</w:t>
      </w:r>
    </w:p>
    <w:p>
      <w:pPr>
        <w:pStyle w:val="ListBullet"/>
      </w:pPr>
      <w:r>
        <w:rPr>
          <w:b/>
        </w:rPr>
        <w:t xml:space="preserve">Multi-page table merging — </w:t>
      </w:r>
      <w:r>
        <w:t>if a table's header row on page N is identical to the header row of a table on page N+1, they're treated as one table split by the page boundary and their rows are merged.</w:t>
      </w:r>
    </w:p>
    <w:p>
      <w:pPr>
        <w:pStyle w:val="ListBullet"/>
      </w:pPr>
      <w:r>
        <w:rPr>
          <w:b/>
        </w:rPr>
        <w:t xml:space="preserve">Scanned fallback — </w:t>
      </w:r>
      <w:r>
        <w:t>if the PDF is scanned, each page is rasterized (pdf2image) and passed to PaddleOCR. Table structure isn't attempted here — OCR gives back a flat text stream, so a scanned page contributes to note text and cross-referencing but not to structured figure extraction.</w:t>
      </w:r>
    </w:p>
    <w:p>
      <w:pPr>
        <w:pStyle w:val="Heading2"/>
      </w:pPr>
      <w:r>
        <w:t>Company name and period detection</w:t>
      </w:r>
    </w:p>
    <w:p>
      <w:pPr>
        <w:spacing w:after="160"/>
      </w:pPr>
      <w:r>
        <w:rPr>
          <w:b w:val="0"/>
          <w:i w:val="0"/>
          <w:sz w:val="21"/>
        </w:rPr>
        <w:t>Regex-based, applied to the first three pages' text: the period is matched against the pattern "(year|period) ended &lt;date&gt;"; the company name is the longest all-caps line with more than 3 words that also contains "LIMITED" or "LTD". This is a simple heuristic and can fail on documents with unusual cover-page formatting or text-layer artifacts (this happened during testing on a PDF with a garbled duplicated watermark layer) — it doesn't block the pipeline, it just leaves company_name/period blank.</w:t>
      </w:r>
    </w:p>
    <w:p>
      <w:pPr>
        <w:pStyle w:val="Heading2"/>
      </w:pPr>
      <w:r>
        <w:t>Excel and Word handling</w:t>
      </w:r>
    </w:p>
    <w:p>
      <w:pPr>
        <w:pStyle w:val="ListBullet"/>
      </w:pPr>
      <w:r>
        <w:rPr>
          <w:b/>
        </w:rPr>
        <w:t xml:space="preserve">Excel — </w:t>
      </w:r>
      <w:r>
        <w:t>openpyxl resolves every merged cell range by copying the top-left cell's value across the whole range before reading, and separately extracts any cell comments (which sometimes carry auditor annotations in real workbooks).</w:t>
      </w:r>
    </w:p>
    <w:p>
      <w:pPr>
        <w:pStyle w:val="ListBullet"/>
      </w:pPr>
      <w:r>
        <w:rPr>
          <w:b/>
        </w:rPr>
        <w:t xml:space="preserve">Word (.docx) — </w:t>
      </w:r>
      <w:r>
        <w:t>mammoth pulls raw text for note-boundary detection; python-docx separately walks every table in the document so a Word-format annual report gets structured figures the same way a PDF's tables do.</w:t>
      </w:r>
    </w:p>
    <w:p>
      <w:pPr>
        <w:pStyle w:val="ListBullet"/>
      </w:pPr>
      <w:r>
        <w:rPr>
          <w:b/>
        </w:rPr>
        <w:t xml:space="preserve">Image — </w:t>
      </w:r>
      <w:r>
        <w:t>a standalone photographed or scanned image upload goes through the same PaddleOCR path as a scanned PDF page — read as one page of text, no structured tables.</w:t>
      </w:r>
    </w:p>
    <w:p>
      <w:r>
        <w:br w:type="page"/>
      </w:r>
    </w:p>
    <w:p>
      <w:pPr>
        <w:pStyle w:val="Heading1"/>
      </w:pPr>
      <w:r>
        <w:t>4. Layer 2 — Note Segmentation &amp; Cross-Reference Graph</w:t>
      </w:r>
    </w:p>
    <w:p>
      <w:pPr>
        <w:spacing w:after="160"/>
      </w:pPr>
      <w:r>
        <w:rPr>
          <w:b w:val="0"/>
          <w:i w:val="0"/>
          <w:sz w:val="21"/>
        </w:rPr>
        <w:t>Indian annual reports number their notes and constantly reference each other ("refer Note 27", "(see Note 32)"). This layer finds where each note starts and ends, then builds a graph of which notes point to which other notes.</w:t>
      </w:r>
    </w:p>
    <w:p>
      <w:pPr>
        <w:pStyle w:val="Heading2"/>
      </w:pPr>
      <w:r>
        <w:t>Note boundary detection</w:t>
      </w:r>
    </w:p>
    <w:p>
      <w:pPr>
        <w:spacing w:after="160"/>
      </w:pPr>
      <w:r>
        <w:rPr>
          <w:b w:val="0"/>
          <w:i w:val="0"/>
          <w:sz w:val="21"/>
        </w:rPr>
        <w:t>A regex looks for lines matching "Note &lt;number&gt;" optionally followed by a sub-letter in parentheses (e.g. "Note 6(a)"), but only after first finding the phrase "Notes to Financial Statements" (or "Notes to Accounts") — this transition point matters because note numbers also appear in the face-statement headers themselves (e.g. "Cash and cash equivalents (Note 7)" on the balance sheet), and those references would otherwise be mistaken for the start of a new note.</w:t>
      </w:r>
    </w:p>
    <w:p>
      <w:pPr>
        <w:pStyle w:val="Heading2"/>
      </w:pPr>
      <w:r>
        <w:t>Cross-reference graph</w:t>
      </w:r>
    </w:p>
    <w:p>
      <w:pPr>
        <w:spacing w:after="160"/>
      </w:pPr>
      <w:r>
        <w:rPr>
          <w:b w:val="0"/>
          <w:i w:val="0"/>
          <w:sz w:val="21"/>
        </w:rPr>
        <w:t>Five regex patterns catch the common phrasings — "refer Note No. X", "(see Note X)", "as per Note X", "(refer Note X)", "Note No. X for further" — and each match becomes a directed edge in a networkx graph, citing-note → cited-note, with the sentence containing the reference stored as edge context.</w:t>
      </w:r>
    </w:p>
    <w:p>
      <w:pPr>
        <w:spacing w:after="160"/>
      </w:pPr>
      <w:r>
        <w:rPr>
          <w:b w:val="0"/>
          <w:i w:val="0"/>
          <w:sz w:val="21"/>
        </w:rPr>
        <w:t>When a flag is generated in Layer 5, the graph is walked up to 2 hops deep from the flag's primary note, so a flag attached to Note 7(c) automatically pulls in the text of any note that 7(c) references, and any note those reference in turn — the same way a human reviewer would flip between linked pages.</w:t>
      </w:r>
    </w:p>
    <w:p>
      <w:r>
        <w:br w:type="page"/>
      </w:r>
    </w:p>
    <w:p>
      <w:pPr>
        <w:pStyle w:val="Heading1"/>
      </w:pPr>
      <w:r>
        <w:t>5. Layer 3 — Normalization</w:t>
      </w:r>
    </w:p>
    <w:p>
      <w:pPr>
        <w:spacing w:after="160"/>
      </w:pPr>
      <w:r>
        <w:rPr>
          <w:b w:val="0"/>
          <w:i w:val="0"/>
          <w:sz w:val="21"/>
        </w:rPr>
        <w:t>Every company writes its line items slightly differently — "Cash and cash equivalents" vs. "Cash &amp; cash equivalents", different note numbering, the occasional typo. This layer maps whatever label a company used onto one of 70 canonical categories (cash, trade receivables, inventories, borrowings, revenue from operations, and so on — the full chart of accounts is defined in pipeline/normalizer/schema.py), using three stages, tried in order: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2F5496"/>
          </w:tcPr>
          <w:p>
            <w:r/>
            <w:r>
              <w:rPr>
                <w:b/>
                <w:color w:val="FFFFFF"/>
                <w:sz w:val="19"/>
              </w:rPr>
              <w:t>Stage</w:t>
            </w:r>
          </w:p>
        </w:tc>
        <w:tc>
          <w:tcPr>
            <w:tcW w:type="dxa" w:w="2160"/>
            <w:shd w:val="clear" w:color="auto" w:fill="2F5496"/>
          </w:tcPr>
          <w:p>
            <w:r/>
            <w:r>
              <w:rPr>
                <w:b/>
                <w:color w:val="FFFFFF"/>
                <w:sz w:val="19"/>
              </w:rPr>
              <w:t>Method</w:t>
            </w:r>
          </w:p>
        </w:tc>
        <w:tc>
          <w:tcPr>
            <w:tcW w:type="dxa" w:w="2160"/>
            <w:shd w:val="clear" w:color="auto" w:fill="2F5496"/>
          </w:tcPr>
          <w:p>
            <w:r/>
            <w:r>
              <w:rPr>
                <w:b/>
                <w:color w:val="FFFFFF"/>
                <w:sz w:val="19"/>
              </w:rPr>
              <w:t>Threshold to accept</w:t>
            </w:r>
          </w:p>
        </w:tc>
        <w:tc>
          <w:tcPr>
            <w:tcW w:type="dxa" w:w="2160"/>
            <w:shd w:val="clear" w:color="auto" w:fill="2F5496"/>
          </w:tcPr>
          <w:p>
            <w:r/>
            <w:r>
              <w:rPr>
                <w:b/>
                <w:color w:val="FFFFFF"/>
                <w:sz w:val="19"/>
              </w:rPr>
              <w:t>Confidence recorded</w:t>
            </w:r>
          </w:p>
        </w:tc>
      </w:tr>
      <w:tr>
        <w:tc>
          <w:tcPr>
            <w:tcW w:type="dxa" w:w="2160"/>
          </w:tcPr>
          <w:p>
            <w:r/>
            <w:r>
              <w:rPr>
                <w:b w:val="0"/>
                <w:sz w:val="18"/>
              </w:rPr>
              <w:t>1 — Exact</w:t>
            </w:r>
          </w:p>
        </w:tc>
        <w:tc>
          <w:tcPr>
            <w:tcW w:type="dxa" w:w="2160"/>
          </w:tcPr>
          <w:p>
            <w:r/>
            <w:r>
              <w:rPr>
                <w:b w:val="0"/>
                <w:sz w:val="18"/>
              </w:rPr>
              <w:t>Lowercase the raw label, strip trailing colons and parenthetical/note-reference suffixes, then check for an exact match against every known variant spelling of each canonical category.</w:t>
            </w:r>
          </w:p>
        </w:tc>
        <w:tc>
          <w:tcPr>
            <w:tcW w:type="dxa" w:w="2160"/>
          </w:tcPr>
          <w:p>
            <w:r/>
            <w:r>
              <w:rPr>
                <w:b w:val="0"/>
                <w:sz w:val="18"/>
              </w:rPr>
              <w:t>Exact string match</w:t>
            </w:r>
          </w:p>
        </w:tc>
        <w:tc>
          <w:tcPr>
            <w:tcW w:type="dxa" w:w="2160"/>
          </w:tcPr>
          <w:p>
            <w:r/>
            <w:r>
              <w:rPr>
                <w:b w:val="0"/>
                <w:sz w:val="18"/>
              </w:rPr>
              <w:t>1.0</w:t>
            </w:r>
          </w:p>
        </w:tc>
      </w:tr>
      <w:tr>
        <w:tc>
          <w:tcPr>
            <w:tcW w:type="dxa" w:w="2160"/>
          </w:tcPr>
          <w:p>
            <w:r/>
            <w:r>
              <w:rPr>
                <w:b w:val="0"/>
                <w:sz w:val="18"/>
              </w:rPr>
              <w:t>2 — Fuzzy</w:t>
            </w:r>
          </w:p>
        </w:tc>
        <w:tc>
          <w:tcPr>
            <w:tcW w:type="dxa" w:w="2160"/>
          </w:tcPr>
          <w:p>
            <w:r/>
            <w:r>
              <w:rPr>
                <w:b w:val="0"/>
                <w:sz w:val="18"/>
              </w:rPr>
              <w:t>rapidfuzz.fuzz.WRatio string similarity against every canonical variant.</w:t>
            </w:r>
          </w:p>
        </w:tc>
        <w:tc>
          <w:tcPr>
            <w:tcW w:type="dxa" w:w="2160"/>
          </w:tcPr>
          <w:p>
            <w:r/>
            <w:r>
              <w:rPr>
                <w:b w:val="0"/>
                <w:sz w:val="18"/>
              </w:rPr>
              <w:t>Score &gt; 85</w:t>
            </w:r>
          </w:p>
        </w:tc>
        <w:tc>
          <w:tcPr>
            <w:tcW w:type="dxa" w:w="2160"/>
          </w:tcPr>
          <w:p>
            <w:r/>
            <w:r>
              <w:rPr>
                <w:b w:val="0"/>
                <w:sz w:val="18"/>
              </w:rPr>
              <w:t>score / 100</w:t>
            </w:r>
          </w:p>
        </w:tc>
      </w:tr>
      <w:tr>
        <w:tc>
          <w:tcPr>
            <w:tcW w:type="dxa" w:w="2160"/>
          </w:tcPr>
          <w:p>
            <w:r/>
            <w:r>
              <w:rPr>
                <w:b w:val="0"/>
                <w:sz w:val="18"/>
              </w:rPr>
              <w:t>3 — Embedding</w:t>
            </w:r>
          </w:p>
        </w:tc>
        <w:tc>
          <w:tcPr>
            <w:tcW w:type="dxa" w:w="2160"/>
          </w:tcPr>
          <w:p>
            <w:r/>
            <w:r>
              <w:rPr>
                <w:b w:val="0"/>
                <w:sz w:val="18"/>
              </w:rPr>
              <w:t>Only attempted if the fuzzy score landed between 60 and 85 (a real but not confident textual match). The label is embedded with bge-m3 and compared by cosine similarity against pre-computed embeddings of every canonical name.</w:t>
            </w:r>
          </w:p>
        </w:tc>
        <w:tc>
          <w:tcPr>
            <w:tcW w:type="dxa" w:w="2160"/>
          </w:tcPr>
          <w:p>
            <w:r/>
            <w:r>
              <w:rPr>
                <w:b w:val="0"/>
                <w:sz w:val="18"/>
              </w:rPr>
              <w:t>Cosine similarity &gt; 0.82</w:t>
            </w:r>
          </w:p>
        </w:tc>
        <w:tc>
          <w:tcPr>
            <w:tcW w:type="dxa" w:w="2160"/>
          </w:tcPr>
          <w:p>
            <w:r/>
            <w:r>
              <w:rPr>
                <w:b w:val="0"/>
                <w:sz w:val="18"/>
              </w:rPr>
              <w:t>similarity score</w:t>
            </w:r>
          </w:p>
        </w:tc>
      </w:tr>
    </w:tbl>
    <w:p>
      <w:pPr>
        <w:pStyle w:val="ListBullet"/>
      </w:pPr>
      <w:r>
        <w:t>A systematic accuracy audit (prompted by a real false-positive match) cross-checked every fuzzy-match schema variant against every other, then against real filing text. rapidfuzz's WRatio was found to sit at a ~85.5 “baseline generosity” floor for medium-length financial-jargon phrases regardless of actual meaning — 848 cross-key collisions existed at the old threshold of 85 vs. 46 at 90, and every demonstrated real-world false positive scored ~85.5 while genuine matches clustered at 90+. FUZZY_MATCH_THRESHOLD was raised to 90 accordingly, and the candidate-selection logic (formerly ranking a match's method — exact/fuzzy/embedding — above whether it actually had both current and prior year values) now checks completeness first.</w:t>
      </w:r>
    </w:p>
    <w:p>
      <w:pPr>
        <w:spacing w:after="160"/>
      </w:pPr>
      <w:r>
        <w:rPr>
          <w:b w:val="0"/>
          <w:i w:val="0"/>
          <w:sz w:val="21"/>
        </w:rPr>
        <w:t>If none of the three stages accept the label, it's recorded as unmapped and logged to data/unmapped_items.log for manual review — it is never silently dropped or guessed at.</w:t>
      </w:r>
    </w:p>
    <w:p>
      <w:pPr>
        <w:spacing w:after="160"/>
      </w:pPr>
      <w:r>
        <w:rPr>
          <w:b w:val="0"/>
          <w:i w:val="0"/>
          <w:sz w:val="21"/>
        </w:rPr>
        <w:t>Important: this three-stage process only ever matches the label text ("what is this line called") — it never touches or reinterprets the number sitting next to it. Once a label is matched, its current-period and prior-period figures are carried through unchanged.</w:t>
      </w:r>
    </w:p>
    <w:p>
      <w:pPr>
        <w:pStyle w:val="Heading2"/>
      </w:pPr>
      <w:r>
        <w:t>Structured note-table parsers</w:t>
      </w:r>
    </w:p>
    <w:p>
      <w:pPr>
        <w:spacing w:after="160"/>
      </w:pPr>
      <w:r>
        <w:rPr>
          <w:b w:val="0"/>
          <w:i w:val="0"/>
          <w:sz w:val="21"/>
        </w:rPr>
        <w:t>Beyond simple line-item mapping, dedicated parsers extract specific note structures the flag rules need directly: trade receivables ageing, trade payables ageing, CWIP ageing, contingent liabilities, CSR spend, MSMED (MSME) disclosure, actuarial assumptions, and the company's own disclosed analytical ratios note. Every parser is written to fail gracefully — an empty table, a missing header, or an unexpected column layout returns None rather than raising an exception, so one malformed table in a 300-page document never crashes the whole run.</w:t>
      </w:r>
    </w:p>
    <w:p>
      <w:r>
        <w:br w:type="page"/>
      </w:r>
    </w:p>
    <w:p>
      <w:pPr>
        <w:pStyle w:val="Heading1"/>
      </w:pPr>
      <w:r>
        <w:t>6. Layer 4 — Analytics: Ratios</w:t>
      </w:r>
    </w:p>
    <w:p>
      <w:pPr>
        <w:spacing w:after="160"/>
      </w:pPr>
      <w:r>
        <w:rPr>
          <w:b w:val="0"/>
          <w:i w:val="0"/>
          <w:sz w:val="21"/>
        </w:rPr>
        <w:t>Nine standard ratios are computed for both the current and prior period, every division safe-guarded (returns nothing rather than crashing if a denominator is missing or zero):</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2F5496"/>
          </w:tcPr>
          <w:p>
            <w:r/>
            <w:r>
              <w:rPr>
                <w:b/>
                <w:color w:val="FFFFFF"/>
                <w:sz w:val="19"/>
              </w:rPr>
              <w:t>Ratio</w:t>
            </w:r>
          </w:p>
        </w:tc>
        <w:tc>
          <w:tcPr>
            <w:tcW w:type="dxa" w:w="4320"/>
            <w:shd w:val="clear" w:color="auto" w:fill="2F5496"/>
          </w:tcPr>
          <w:p>
            <w:r/>
            <w:r>
              <w:rPr>
                <w:b/>
                <w:color w:val="FFFFFF"/>
                <w:sz w:val="19"/>
              </w:rPr>
              <w:t>Formula</w:t>
            </w:r>
          </w:p>
        </w:tc>
      </w:tr>
      <w:tr>
        <w:tc>
          <w:tcPr>
            <w:tcW w:type="dxa" w:w="4320"/>
          </w:tcPr>
          <w:p>
            <w:r/>
            <w:r>
              <w:rPr>
                <w:b w:val="0"/>
                <w:sz w:val="18"/>
              </w:rPr>
              <w:t>Current Ratio</w:t>
            </w:r>
          </w:p>
        </w:tc>
        <w:tc>
          <w:tcPr>
            <w:tcW w:type="dxa" w:w="4320"/>
          </w:tcPr>
          <w:p>
            <w:r/>
            <w:r>
              <w:rPr>
                <w:b w:val="0"/>
                <w:sz w:val="18"/>
              </w:rPr>
              <w:t>Total Current Assets ÷ Total Current Liabilities</w:t>
            </w:r>
          </w:p>
        </w:tc>
      </w:tr>
      <w:tr>
        <w:tc>
          <w:tcPr>
            <w:tcW w:type="dxa" w:w="4320"/>
          </w:tcPr>
          <w:p>
            <w:r/>
            <w:r>
              <w:rPr>
                <w:b w:val="0"/>
                <w:sz w:val="18"/>
              </w:rPr>
              <w:t>Quick Ratio</w:t>
            </w:r>
          </w:p>
        </w:tc>
        <w:tc>
          <w:tcPr>
            <w:tcW w:type="dxa" w:w="4320"/>
          </w:tcPr>
          <w:p>
            <w:r/>
            <w:r>
              <w:rPr>
                <w:b w:val="0"/>
                <w:sz w:val="18"/>
              </w:rPr>
              <w:t>(Total Current Assets − Inventories) ÷ Total Current Liabilities</w:t>
            </w:r>
          </w:p>
        </w:tc>
      </w:tr>
      <w:tr>
        <w:tc>
          <w:tcPr>
            <w:tcW w:type="dxa" w:w="4320"/>
          </w:tcPr>
          <w:p>
            <w:r/>
            <w:r>
              <w:rPr>
                <w:b w:val="0"/>
                <w:sz w:val="18"/>
              </w:rPr>
              <w:t>Debt-Equity Ratio</w:t>
            </w:r>
          </w:p>
        </w:tc>
        <w:tc>
          <w:tcPr>
            <w:tcW w:type="dxa" w:w="4320"/>
          </w:tcPr>
          <w:p>
            <w:r/>
            <w:r>
              <w:rPr>
                <w:b w:val="0"/>
                <w:sz w:val="18"/>
              </w:rPr>
              <w:t>(Current Borrowings + Non-Current Borrowings) ÷ Total Equity</w:t>
            </w:r>
          </w:p>
        </w:tc>
      </w:tr>
      <w:tr>
        <w:tc>
          <w:tcPr>
            <w:tcW w:type="dxa" w:w="4320"/>
          </w:tcPr>
          <w:p>
            <w:r/>
            <w:r>
              <w:rPr>
                <w:b w:val="0"/>
                <w:sz w:val="18"/>
              </w:rPr>
              <w:t>Interest Coverage</w:t>
            </w:r>
          </w:p>
        </w:tc>
        <w:tc>
          <w:tcPr>
            <w:tcW w:type="dxa" w:w="4320"/>
          </w:tcPr>
          <w:p>
            <w:r/>
            <w:r>
              <w:rPr>
                <w:b w:val="0"/>
                <w:sz w:val="18"/>
              </w:rPr>
              <w:t>(Profit Before Tax + Finance Costs) ÷ Finance Costs  — i.e. EBIT ÷ Interest</w:t>
            </w:r>
          </w:p>
        </w:tc>
      </w:tr>
      <w:tr>
        <w:tc>
          <w:tcPr>
            <w:tcW w:type="dxa" w:w="4320"/>
          </w:tcPr>
          <w:p>
            <w:r/>
            <w:r>
              <w:rPr>
                <w:b w:val="0"/>
                <w:sz w:val="18"/>
              </w:rPr>
              <w:t>Debtor Days</w:t>
            </w:r>
          </w:p>
        </w:tc>
        <w:tc>
          <w:tcPr>
            <w:tcW w:type="dxa" w:w="4320"/>
          </w:tcPr>
          <w:p>
            <w:r/>
            <w:r>
              <w:rPr>
                <w:b w:val="0"/>
                <w:sz w:val="18"/>
              </w:rPr>
              <w:t>(Trade Receivables ÷ Revenue from Operations) × 365</w:t>
            </w:r>
          </w:p>
        </w:tc>
      </w:tr>
      <w:tr>
        <w:tc>
          <w:tcPr>
            <w:tcW w:type="dxa" w:w="4320"/>
          </w:tcPr>
          <w:p>
            <w:r/>
            <w:r>
              <w:rPr>
                <w:b w:val="0"/>
                <w:sz w:val="18"/>
              </w:rPr>
              <w:t>Creditor Days</w:t>
            </w:r>
          </w:p>
        </w:tc>
        <w:tc>
          <w:tcPr>
            <w:tcW w:type="dxa" w:w="4320"/>
          </w:tcPr>
          <w:p>
            <w:r/>
            <w:r>
              <w:rPr>
                <w:b w:val="0"/>
                <w:sz w:val="18"/>
              </w:rPr>
              <w:t>((MSE Payables + Other Payables) ÷ Cost of Services) × 365</w:t>
            </w:r>
          </w:p>
        </w:tc>
      </w:tr>
      <w:tr>
        <w:tc>
          <w:tcPr>
            <w:tcW w:type="dxa" w:w="4320"/>
          </w:tcPr>
          <w:p>
            <w:r/>
            <w:r>
              <w:rPr>
                <w:b w:val="0"/>
                <w:sz w:val="18"/>
              </w:rPr>
              <w:t>Net Profit Margin</w:t>
            </w:r>
          </w:p>
        </w:tc>
        <w:tc>
          <w:tcPr>
            <w:tcW w:type="dxa" w:w="4320"/>
          </w:tcPr>
          <w:p>
            <w:r/>
            <w:r>
              <w:rPr>
                <w:b w:val="0"/>
                <w:sz w:val="18"/>
              </w:rPr>
              <w:t>(Profit After Tax ÷ Revenue from Operations) × 100</w:t>
            </w:r>
          </w:p>
        </w:tc>
      </w:tr>
      <w:tr>
        <w:tc>
          <w:tcPr>
            <w:tcW w:type="dxa" w:w="4320"/>
          </w:tcPr>
          <w:p>
            <w:r/>
            <w:r>
              <w:rPr>
                <w:b w:val="0"/>
                <w:sz w:val="18"/>
              </w:rPr>
              <w:t>ROCE</w:t>
            </w:r>
          </w:p>
        </w:tc>
        <w:tc>
          <w:tcPr>
            <w:tcW w:type="dxa" w:w="4320"/>
          </w:tcPr>
          <w:p>
            <w:r/>
            <w:r>
              <w:rPr>
                <w:b w:val="0"/>
                <w:sz w:val="18"/>
              </w:rPr>
              <w:t>EBIT ÷ (Total Assets − Total Current Liabilities) × 100</w:t>
            </w:r>
          </w:p>
        </w:tc>
      </w:tr>
      <w:tr>
        <w:tc>
          <w:tcPr>
            <w:tcW w:type="dxa" w:w="4320"/>
          </w:tcPr>
          <w:p>
            <w:r/>
            <w:r>
              <w:rPr>
                <w:b w:val="0"/>
                <w:sz w:val="18"/>
              </w:rPr>
              <w:t>CFO / PAT</w:t>
            </w:r>
          </w:p>
        </w:tc>
        <w:tc>
          <w:tcPr>
            <w:tcW w:type="dxa" w:w="4320"/>
          </w:tcPr>
          <w:p>
            <w:r/>
            <w:r>
              <w:rPr>
                <w:b w:val="0"/>
                <w:sz w:val="18"/>
              </w:rPr>
              <w:t>Operating Cash Flow ÷ Profit After Tax  — a cash-flow quality indicator</w:t>
            </w:r>
          </w:p>
        </w:tc>
      </w:tr>
    </w:tbl>
    <w:p>
      <w:r>
        <w:br w:type="page"/>
      </w:r>
    </w:p>
    <w:p>
      <w:pPr>
        <w:pStyle w:val="Heading1"/>
      </w:pPr>
      <w:r>
        <w:t>7. Layer 4 — Every Audit Rule and Its Exact Condition</w:t>
      </w:r>
    </w:p>
    <w:p>
      <w:pPr>
        <w:spacing w:after="160"/>
      </w:pPr>
      <w:r>
        <w:rPr>
          <w:b w:val="0"/>
          <w:i w:val="0"/>
          <w:sz w:val="21"/>
        </w:rPr>
        <w:t>This is the complete list — 36 rules total (16 High-severity, 13 Medium, 5 Low, plus 2 whose severity scales with the underlying number rather than being fixed). Every rule below is a plain Python comparison against a fixed numeric threshold — nothing here is decided by the AI model. If a condition isn't met, the rule simply produces no output; there's no partial credit or fuzzy judgment. Thresholds are general audit rules of thumb, not derived from a specific materiality calculation for any one company (see the caveat in Section 11).</w:t>
      </w:r>
    </w:p>
    <w:p>
      <w:pPr>
        <w:pStyle w:val="Heading2"/>
      </w:pPr>
      <w:r>
        <w:t>High severity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19"/>
              </w:rPr>
              <w:t>Rule</w:t>
            </w:r>
          </w:p>
        </w:tc>
        <w:tc>
          <w:tcPr>
            <w:tcW w:type="dxa" w:w="2880"/>
            <w:shd w:val="clear" w:color="auto" w:fill="2F5496"/>
          </w:tcPr>
          <w:p>
            <w:r/>
            <w:r>
              <w:rPr>
                <w:b/>
                <w:color w:val="FFFFFF"/>
                <w:sz w:val="19"/>
              </w:rPr>
              <w:t>Exact condition</w:t>
            </w:r>
          </w:p>
        </w:tc>
        <w:tc>
          <w:tcPr>
            <w:tcW w:type="dxa" w:w="2880"/>
            <w:shd w:val="clear" w:color="auto" w:fill="2F5496"/>
          </w:tcPr>
          <w:p>
            <w:r/>
            <w:r>
              <w:rPr>
                <w:b/>
                <w:color w:val="FFFFFF"/>
                <w:sz w:val="19"/>
              </w:rPr>
              <w:t>What it checks</w:t>
            </w:r>
          </w:p>
        </w:tc>
      </w:tr>
      <w:tr>
        <w:tc>
          <w:tcPr>
            <w:tcW w:type="dxa" w:w="2880"/>
          </w:tcPr>
          <w:p>
            <w:r/>
            <w:r>
              <w:rPr>
                <w:b w:val="0"/>
                <w:sz w:val="18"/>
              </w:rPr>
              <w:t>Cash decline</w:t>
            </w:r>
          </w:p>
        </w:tc>
        <w:tc>
          <w:tcPr>
            <w:tcW w:type="dxa" w:w="2880"/>
          </w:tcPr>
          <w:p>
            <w:r/>
            <w:r>
              <w:rPr>
                <w:b w:val="0"/>
                <w:sz w:val="18"/>
              </w:rPr>
              <w:t>Cash &amp; cash equivalents fell more than 40% year-on-year AND the current balance is more than 0.5% of total assets</w:t>
            </w:r>
          </w:p>
        </w:tc>
        <w:tc>
          <w:tcPr>
            <w:tcW w:type="dxa" w:w="2880"/>
          </w:tcPr>
          <w:p>
            <w:r/>
            <w:r>
              <w:rPr>
                <w:b w:val="0"/>
                <w:sz w:val="18"/>
              </w:rPr>
              <w:t>A material liquidity drop — go-concern-adjacent</w:t>
            </w:r>
          </w:p>
        </w:tc>
      </w:tr>
      <w:tr>
        <w:tc>
          <w:tcPr>
            <w:tcW w:type="dxa" w:w="2880"/>
          </w:tcPr>
          <w:p>
            <w:r/>
            <w:r>
              <w:rPr>
                <w:b w:val="0"/>
                <w:sz w:val="18"/>
              </w:rPr>
              <w:t>First occurrence, material</w:t>
            </w:r>
          </w:p>
        </w:tc>
        <w:tc>
          <w:tcPr>
            <w:tcW w:type="dxa" w:w="2880"/>
          </w:tcPr>
          <w:p>
            <w:r/>
            <w:r>
              <w:rPr>
                <w:b w:val="0"/>
                <w:sz w:val="18"/>
              </w:rPr>
              <w:t>A line item has no prior-year figure (i.e. is new this year) AND its current value exceeds 3% of total assets</w:t>
            </w:r>
          </w:p>
        </w:tc>
        <w:tc>
          <w:tcPr>
            <w:tcW w:type="dxa" w:w="2880"/>
          </w:tcPr>
          <w:p>
            <w:r/>
            <w:r>
              <w:rPr>
                <w:b w:val="0"/>
                <w:sz w:val="18"/>
              </w:rPr>
              <w:t>A significant new balance appearing with no comparative — needs explanation</w:t>
            </w:r>
          </w:p>
        </w:tc>
      </w:tr>
      <w:tr>
        <w:tc>
          <w:tcPr>
            <w:tcW w:type="dxa" w:w="2880"/>
          </w:tcPr>
          <w:p>
            <w:r/>
            <w:r>
              <w:rPr>
                <w:b w:val="0"/>
                <w:sz w:val="18"/>
              </w:rPr>
              <w:t>CFO / PAT divergence</w:t>
            </w:r>
          </w:p>
        </w:tc>
        <w:tc>
          <w:tcPr>
            <w:tcW w:type="dxa" w:w="2880"/>
          </w:tcPr>
          <w:p>
            <w:r/>
            <w:r>
              <w:rPr>
                <w:b w:val="0"/>
                <w:sz w:val="18"/>
              </w:rPr>
              <w:t>Operating cash flow is less than 60% of reported profit after tax (and PAT is positive)</w:t>
            </w:r>
          </w:p>
        </w:tc>
        <w:tc>
          <w:tcPr>
            <w:tcW w:type="dxa" w:w="2880"/>
          </w:tcPr>
          <w:p>
            <w:r/>
            <w:r>
              <w:rPr>
                <w:b w:val="0"/>
                <w:sz w:val="18"/>
              </w:rPr>
              <w:t>Profit not being converted into cash — earnings quality concern</w:t>
            </w:r>
          </w:p>
        </w:tc>
      </w:tr>
      <w:tr>
        <w:tc>
          <w:tcPr>
            <w:tcW w:type="dxa" w:w="2880"/>
          </w:tcPr>
          <w:p>
            <w:r/>
            <w:r>
              <w:rPr>
                <w:b w:val="0"/>
                <w:sz w:val="18"/>
              </w:rPr>
              <w:t>ROU asset material increase</w:t>
            </w:r>
          </w:p>
        </w:tc>
        <w:tc>
          <w:tcPr>
            <w:tcW w:type="dxa" w:w="2880"/>
          </w:tcPr>
          <w:p>
            <w:r/>
            <w:r>
              <w:rPr>
                <w:b w:val="0"/>
                <w:sz w:val="18"/>
              </w:rPr>
              <w:t>Right-of-use assets grew more than 100% year-on-year AND exceed 2% of total assets</w:t>
            </w:r>
          </w:p>
        </w:tc>
        <w:tc>
          <w:tcPr>
            <w:tcW w:type="dxa" w:w="2880"/>
          </w:tcPr>
          <w:p>
            <w:r/>
            <w:r>
              <w:rPr>
                <w:b w:val="0"/>
                <w:sz w:val="18"/>
              </w:rPr>
              <w:t>A large new lease recognition under Ind AS 116</w:t>
            </w:r>
          </w:p>
        </w:tc>
      </w:tr>
      <w:tr>
        <w:tc>
          <w:tcPr>
            <w:tcW w:type="dxa" w:w="2880"/>
          </w:tcPr>
          <w:p>
            <w:r/>
            <w:r>
              <w:rPr>
                <w:b w:val="0"/>
                <w:sz w:val="18"/>
              </w:rPr>
              <w:t>Contingent liability jump</w:t>
            </w:r>
          </w:p>
        </w:tc>
        <w:tc>
          <w:tcPr>
            <w:tcW w:type="dxa" w:w="2880"/>
          </w:tcPr>
          <w:p>
            <w:r/>
            <w:r>
              <w:rPr>
                <w:b w:val="0"/>
                <w:sz w:val="18"/>
              </w:rPr>
              <w:t>Total contingent liabilities increased by more than 5% of total equity</w:t>
            </w:r>
          </w:p>
        </w:tc>
        <w:tc>
          <w:tcPr>
            <w:tcW w:type="dxa" w:w="2880"/>
          </w:tcPr>
          <w:p>
            <w:r/>
            <w:r>
              <w:rPr>
                <w:b w:val="0"/>
                <w:sz w:val="18"/>
              </w:rPr>
              <w:t>A material new or growing contingent exposure</w:t>
            </w:r>
          </w:p>
        </w:tc>
      </w:tr>
      <w:tr>
        <w:tc>
          <w:tcPr>
            <w:tcW w:type="dxa" w:w="2880"/>
          </w:tcPr>
          <w:p>
            <w:r/>
            <w:r>
              <w:rPr>
                <w:b w:val="0"/>
                <w:sz w:val="18"/>
              </w:rPr>
              <w:t>Other financial assets surge</w:t>
            </w:r>
          </w:p>
        </w:tc>
        <w:tc>
          <w:tcPr>
            <w:tcW w:type="dxa" w:w="2880"/>
          </w:tcPr>
          <w:p>
            <w:r/>
            <w:r>
              <w:rPr>
                <w:b w:val="0"/>
                <w:sz w:val="18"/>
              </w:rPr>
              <w:t>"Other current financial assets" grew more than 80% AND exceed 5% of total assets</w:t>
            </w:r>
          </w:p>
        </w:tc>
        <w:tc>
          <w:tcPr>
            <w:tcW w:type="dxa" w:w="2880"/>
          </w:tcPr>
          <w:p>
            <w:r/>
            <w:r>
              <w:rPr>
                <w:b w:val="0"/>
                <w:sz w:val="18"/>
              </w:rPr>
              <w:t>Possible reclassification or measurement issue under Ind AS 109</w:t>
            </w:r>
          </w:p>
        </w:tc>
      </w:tr>
      <w:tr>
        <w:tc>
          <w:tcPr>
            <w:tcW w:type="dxa" w:w="2880"/>
          </w:tcPr>
          <w:p>
            <w:r/>
            <w:r>
              <w:rPr>
                <w:b w:val="0"/>
                <w:sz w:val="18"/>
              </w:rPr>
              <w:t>Tax reconciliation error</w:t>
            </w:r>
          </w:p>
        </w:tc>
        <w:tc>
          <w:tcPr>
            <w:tcW w:type="dxa" w:w="2880"/>
          </w:tcPr>
          <w:p>
            <w:r/>
            <w:r>
              <w:rPr>
                <w:b w:val="0"/>
                <w:sz w:val="18"/>
              </w:rPr>
              <w:t>Current tax + prior-year tax adjustment + deferred tax does not equal the disclosed total tax expense (difference &gt; ₹1 lakh)</w:t>
            </w:r>
          </w:p>
        </w:tc>
        <w:tc>
          <w:tcPr>
            <w:tcW w:type="dxa" w:w="2880"/>
          </w:tcPr>
          <w:p>
            <w:r/>
            <w:r>
              <w:rPr>
                <w:b w:val="0"/>
                <w:sz w:val="18"/>
              </w:rPr>
              <w:t>An internal arithmetic inconsistency in the tax note itself — a data-integrity check, not a judgment call</w:t>
            </w:r>
          </w:p>
        </w:tc>
      </w:tr>
      <w:tr>
        <w:tc>
          <w:tcPr>
            <w:tcW w:type="dxa" w:w="2880"/>
          </w:tcPr>
          <w:p>
            <w:r>
              <w:t>Cash flow reconciliation error</w:t>
            </w:r>
          </w:p>
        </w:tc>
        <w:tc>
          <w:tcPr>
            <w:tcW w:type="dxa" w:w="2880"/>
          </w:tcPr>
          <w:p>
            <w:r>
              <w:t>Opening cash + net CFO + net CFI + net CFF does not equal the disclosed closing cash balance (difference &gt; ₹1 lakh)</w:t>
            </w:r>
          </w:p>
        </w:tc>
        <w:tc>
          <w:tcPr>
            <w:tcW w:type="dxa" w:w="2880"/>
          </w:tcPr>
          <w:p>
            <w:r>
              <w:t>An internal arithmetic break in the cash flow statement itself — Ind AS 7</w:t>
            </w:r>
          </w:p>
        </w:tc>
      </w:tr>
      <w:tr>
        <w:tc>
          <w:tcPr>
            <w:tcW w:type="dxa" w:w="2880"/>
          </w:tcPr>
          <w:p>
            <w:r>
              <w:t>CAG auditor-reporting deficiency</w:t>
            </w:r>
          </w:p>
        </w:tc>
        <w:tc>
          <w:tcPr>
            <w:tcW w:type="dxa" w:w="2880"/>
          </w:tcPr>
          <w:p>
            <w:r>
              <w:t>The Comptroller &amp; Auditor General's Section 143(6) supplementary comments state the statutory auditor's own report (CARO 2020 / Section 143(5) directions) was deficient or non-compliant</w:t>
            </w:r>
          </w:p>
        </w:tc>
        <w:tc>
          <w:tcPr>
            <w:tcW w:type="dxa" w:w="2880"/>
          </w:tcPr>
          <w:p>
            <w:r>
              <w:t>CAG faulting the auditor's own report, not just the company's numbers — found via two real CPSE filings (ONGC, SAIL)</w:t>
            </w:r>
          </w:p>
        </w:tc>
      </w:tr>
      <w:tr>
        <w:tc>
          <w:tcPr>
            <w:tcW w:type="dxa" w:w="2880"/>
          </w:tcPr>
          <w:p>
            <w:r>
              <w:t>Auditor qualified opinion</w:t>
            </w:r>
          </w:p>
        </w:tc>
        <w:tc>
          <w:tcPr>
            <w:tcW w:type="dxa" w:w="2880"/>
          </w:tcPr>
          <w:p>
            <w:r>
              <w:t>The auditor's report contains a "Qualified Opinion", "Adverse Opinion", or "Disclaimer of Opinion" heading instead of a routine unqualified opinion</w:t>
            </w:r>
          </w:p>
        </w:tc>
        <w:tc>
          <w:tcPr>
            <w:tcW w:type="dxa" w:w="2880"/>
          </w:tcPr>
          <w:p>
            <w:r>
              <w:t>A materially more severe signal than an Emphasis of Matter paragraph</w:t>
            </w:r>
          </w:p>
        </w:tc>
      </w:tr>
      <w:tr>
        <w:tc>
          <w:tcPr>
            <w:tcW w:type="dxa" w:w="2880"/>
          </w:tcPr>
          <w:p>
            <w:r>
              <w:t>Multi-entity document</w:t>
            </w:r>
          </w:p>
        </w:tc>
        <w:tc>
          <w:tcPr>
            <w:tcW w:type="dxa" w:w="2880"/>
          </w:tcPr>
          <w:p>
            <w:r>
              <w:t>The uploaded document contains more than one company's CIN (excluding CINs cited only in a related-party disclosure)</w:t>
            </w:r>
          </w:p>
        </w:tc>
        <w:tc>
          <w:tcPr>
            <w:tcW w:type="dxa" w:w="2880"/>
          </w:tcPr>
          <w:p>
            <w:r>
              <w:t>Near-certain proof the document bundles more than one reporting entity (e.g. a mutual fund AMC report covering many schemes), which this tool cannot reliably analyze as a single company</w:t>
            </w:r>
          </w:p>
        </w:tc>
      </w:tr>
      <w:tr>
        <w:tc>
          <w:tcPr>
            <w:tcW w:type="dxa" w:w="2880"/>
          </w:tcPr>
          <w:p>
            <w:r>
              <w:t>Fraud / investigation disclosure</w:t>
            </w:r>
          </w:p>
        </w:tc>
        <w:tc>
          <w:tcPr>
            <w:tcW w:type="dxa" w:w="2880"/>
          </w:tcPr>
          <w:p>
            <w:r>
              <w:t>The filing discloses an instance of embezzlement/misappropriation, or names a specific regulatory or law-enforcement investigation (e.g. Lokayukta, SFIO, CBI, Enforcement Directorate)</w:t>
            </w:r>
          </w:p>
        </w:tc>
        <w:tc>
          <w:tcPr>
            <w:tcW w:type="dxa" w:w="2880"/>
          </w:tcPr>
          <w:p>
            <w:r>
              <w:t>Deliberately avoids the bare word "fraud" (confirmed as routine SA 200 audit-methodology boilerplate on a real, clean filing) — grounded instead in two real filings: an employee-embezzlement disclosure and an active police investigation into tender irregularities</w:t>
            </w:r>
          </w:p>
        </w:tc>
      </w:tr>
      <w:tr>
        <w:tc>
          <w:tcPr>
            <w:tcW w:type="dxa" w:w="2880"/>
          </w:tcPr>
          <w:p>
            <w:r>
              <w:t>Negative net worth</w:t>
            </w:r>
          </w:p>
        </w:tc>
        <w:tc>
          <w:tcPr>
            <w:tcW w:type="dxa" w:w="2880"/>
          </w:tcPr>
          <w:p>
            <w:r>
              <w:t>Total equity (net worth) is negative</w:t>
            </w:r>
          </w:p>
        </w:tc>
        <w:tc>
          <w:tcPr>
            <w:tcW w:type="dxa" w:w="2880"/>
          </w:tcPr>
          <w:p>
            <w:r>
              <w:t>A going-concern-level fact in its own right — reuses an already-extracted figure, no new extraction needed</w:t>
            </w:r>
          </w:p>
        </w:tc>
      </w:tr>
      <w:tr>
        <w:tc>
          <w:tcPr>
            <w:tcW w:type="dxa" w:w="2880"/>
          </w:tcPr>
          <w:p>
            <w:r>
              <w:t>Investment diminution indicator</w:t>
            </w:r>
          </w:p>
        </w:tc>
        <w:tc>
          <w:tcPr>
            <w:tcW w:type="dxa" w:w="2880"/>
          </w:tcPr>
          <w:p>
            <w:r>
              <w:t>The filing discloses a "diminution in value" for an investment in a subsidiary, associate, or joint venture</w:t>
            </w:r>
          </w:p>
        </w:tc>
        <w:tc>
          <w:tcPr>
            <w:tcW w:type="dxa" w:w="2880"/>
          </w:tcPr>
          <w:p>
            <w:r>
              <w:t>Deliberately narrower than the bare word "impairment", which also appears in routine accounting-policy boilerplate present in nearly every filing regardless of whether any impairment was ever triggered</w:t>
            </w:r>
          </w:p>
        </w:tc>
      </w:tr>
    </w:tbl>
    <w:p>
      <w:pPr>
        <w:pStyle w:val="Heading2"/>
      </w:pPr>
      <w:r>
        <w:t>Medium severity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19"/>
              </w:rPr>
              <w:t>Rule</w:t>
            </w:r>
          </w:p>
        </w:tc>
        <w:tc>
          <w:tcPr>
            <w:tcW w:type="dxa" w:w="2880"/>
            <w:shd w:val="clear" w:color="auto" w:fill="2F5496"/>
          </w:tcPr>
          <w:p>
            <w:r/>
            <w:r>
              <w:rPr>
                <w:b/>
                <w:color w:val="FFFFFF"/>
                <w:sz w:val="19"/>
              </w:rPr>
              <w:t>Exact condition</w:t>
            </w:r>
          </w:p>
        </w:tc>
        <w:tc>
          <w:tcPr>
            <w:tcW w:type="dxa" w:w="2880"/>
            <w:shd w:val="clear" w:color="auto" w:fill="2F5496"/>
          </w:tcPr>
          <w:p>
            <w:r/>
            <w:r>
              <w:rPr>
                <w:b/>
                <w:color w:val="FFFFFF"/>
                <w:sz w:val="19"/>
              </w:rPr>
              <w:t>What it checks</w:t>
            </w:r>
          </w:p>
        </w:tc>
      </w:tr>
      <w:tr>
        <w:tc>
          <w:tcPr>
            <w:tcW w:type="dxa" w:w="2880"/>
          </w:tcPr>
          <w:p>
            <w:r/>
            <w:r>
              <w:rPr>
                <w:b w:val="0"/>
                <w:sz w:val="18"/>
              </w:rPr>
              <w:t>Receivables / revenue mismatch</w:t>
            </w:r>
          </w:p>
        </w:tc>
        <w:tc>
          <w:tcPr>
            <w:tcW w:type="dxa" w:w="2880"/>
          </w:tcPr>
          <w:p>
            <w:r/>
            <w:r>
              <w:rPr>
                <w:b w:val="0"/>
                <w:sz w:val="18"/>
              </w:rPr>
              <w:t>Trade receivables' YoY % change and revenue's YoY % change diverge by more than 20 percentage points</w:t>
            </w:r>
          </w:p>
        </w:tc>
        <w:tc>
          <w:tcPr>
            <w:tcW w:type="dxa" w:w="2880"/>
          </w:tcPr>
          <w:p>
            <w:r/>
            <w:r>
              <w:rPr>
                <w:b w:val="0"/>
                <w:sz w:val="18"/>
              </w:rPr>
              <w:t>Receivables growing much faster (or slower) than sales — collectability or revenue recognition concern</w:t>
            </w:r>
          </w:p>
        </w:tc>
      </w:tr>
      <w:tr>
        <w:tc>
          <w:tcPr>
            <w:tcW w:type="dxa" w:w="2880"/>
          </w:tcPr>
          <w:p>
            <w:r/>
            <w:r>
              <w:rPr>
                <w:b w:val="0"/>
                <w:sz w:val="18"/>
              </w:rPr>
              <w:t>MSE payables increase</w:t>
            </w:r>
          </w:p>
        </w:tc>
        <w:tc>
          <w:tcPr>
            <w:tcW w:type="dxa" w:w="2880"/>
          </w:tcPr>
          <w:p>
            <w:r/>
            <w:r>
              <w:rPr>
                <w:b w:val="0"/>
                <w:sz w:val="18"/>
              </w:rPr>
              <w:t>Trade payables to micro/small enterprises grew more than 40%</w:t>
            </w:r>
          </w:p>
        </w:tc>
        <w:tc>
          <w:tcPr>
            <w:tcW w:type="dxa" w:w="2880"/>
          </w:tcPr>
          <w:p>
            <w:r/>
            <w:r>
              <w:rPr>
                <w:b w:val="0"/>
                <w:sz w:val="18"/>
              </w:rPr>
              <w:t>Growing exposure under the MSMED Act, where late payment carries mandatory interest</w:t>
            </w:r>
          </w:p>
        </w:tc>
      </w:tr>
      <w:tr>
        <w:tc>
          <w:tcPr>
            <w:tcW w:type="dxa" w:w="2880"/>
          </w:tcPr>
          <w:p>
            <w:r/>
            <w:r>
              <w:rPr>
                <w:b w:val="0"/>
                <w:sz w:val="18"/>
              </w:rPr>
              <w:t>Prior-year tax material</w:t>
            </w:r>
          </w:p>
        </w:tc>
        <w:tc>
          <w:tcPr>
            <w:tcW w:type="dxa" w:w="2880"/>
          </w:tcPr>
          <w:p>
            <w:r/>
            <w:r>
              <w:rPr>
                <w:b w:val="0"/>
                <w:sz w:val="18"/>
              </w:rPr>
              <w:t>Prior-period tax adjustment exceeds 40% of the current year's tax charge</w:t>
            </w:r>
          </w:p>
        </w:tc>
        <w:tc>
          <w:tcPr>
            <w:tcW w:type="dxa" w:w="2880"/>
          </w:tcPr>
          <w:p>
            <w:r/>
            <w:r>
              <w:rPr>
                <w:b w:val="0"/>
                <w:sz w:val="18"/>
              </w:rPr>
              <w:t>A large restatement-adjacent tax correction</w:t>
            </w:r>
          </w:p>
        </w:tc>
      </w:tr>
      <w:tr>
        <w:tc>
          <w:tcPr>
            <w:tcW w:type="dxa" w:w="2880"/>
          </w:tcPr>
          <w:p>
            <w:r/>
            <w:r>
              <w:rPr>
                <w:b w:val="0"/>
                <w:sz w:val="18"/>
              </w:rPr>
              <w:t>JV / associate profit decline</w:t>
            </w:r>
          </w:p>
        </w:tc>
        <w:tc>
          <w:tcPr>
            <w:tcW w:type="dxa" w:w="2880"/>
          </w:tcPr>
          <w:p>
            <w:r/>
            <w:r>
              <w:rPr>
                <w:b w:val="0"/>
                <w:sz w:val="18"/>
              </w:rPr>
              <w:t>Share of profit from joint ventures/associates fell more than 25%</w:t>
            </w:r>
          </w:p>
        </w:tc>
        <w:tc>
          <w:tcPr>
            <w:tcW w:type="dxa" w:w="2880"/>
          </w:tcPr>
          <w:p>
            <w:r/>
            <w:r>
              <w:rPr>
                <w:b w:val="0"/>
                <w:sz w:val="18"/>
              </w:rPr>
              <w:t>Possible impairment indicator under the equity method</w:t>
            </w:r>
          </w:p>
        </w:tc>
      </w:tr>
      <w:tr>
        <w:tc>
          <w:tcPr>
            <w:tcW w:type="dxa" w:w="2880"/>
          </w:tcPr>
          <w:p>
            <w:r/>
            <w:r>
              <w:rPr>
                <w:b w:val="0"/>
                <w:sz w:val="18"/>
              </w:rPr>
              <w:t>CSR unspent</w:t>
            </w:r>
          </w:p>
        </w:tc>
        <w:tc>
          <w:tcPr>
            <w:tcW w:type="dxa" w:w="2880"/>
          </w:tcPr>
          <w:p>
            <w:r/>
            <w:r>
              <w:rPr>
                <w:b w:val="0"/>
                <w:sz w:val="18"/>
              </w:rPr>
              <w:t>Any unspent CSR obligation greater than zero</w:t>
            </w:r>
          </w:p>
        </w:tc>
        <w:tc>
          <w:tcPr>
            <w:tcW w:type="dxa" w:w="2880"/>
          </w:tcPr>
          <w:p>
            <w:r/>
            <w:r>
              <w:rPr>
                <w:b w:val="0"/>
                <w:sz w:val="18"/>
              </w:rPr>
              <w:t>Section 135 Companies Act compliance — unspent CSR must be tracked/transferred</w:t>
            </w:r>
          </w:p>
        </w:tc>
      </w:tr>
      <w:tr>
        <w:tc>
          <w:tcPr>
            <w:tcW w:type="dxa" w:w="2880"/>
          </w:tcPr>
          <w:p>
            <w:r/>
            <w:r>
              <w:rPr>
                <w:b w:val="0"/>
                <w:sz w:val="18"/>
              </w:rPr>
              <w:t>MSME interest accrued</w:t>
            </w:r>
          </w:p>
        </w:tc>
        <w:tc>
          <w:tcPr>
            <w:tcW w:type="dxa" w:w="2880"/>
          </w:tcPr>
          <w:p>
            <w:r/>
            <w:r>
              <w:rPr>
                <w:b w:val="0"/>
                <w:sz w:val="18"/>
              </w:rPr>
              <w:t>Interest accrued on delayed MSME payments is greater than zero</w:t>
            </w:r>
          </w:p>
        </w:tc>
        <w:tc>
          <w:tcPr>
            <w:tcW w:type="dxa" w:w="2880"/>
          </w:tcPr>
          <w:p>
            <w:r/>
            <w:r>
              <w:rPr>
                <w:b w:val="0"/>
                <w:sz w:val="18"/>
              </w:rPr>
              <w:t>A compliance signal separate from the payables-growth check above — this fires even if payables didn't grow 40%, as long as interest has actually accrued</w:t>
            </w:r>
          </w:p>
        </w:tc>
      </w:tr>
      <w:tr>
        <w:tc>
          <w:tcPr>
            <w:tcW w:type="dxa" w:w="2880"/>
          </w:tcPr>
          <w:p>
            <w:r/>
            <w:r>
              <w:rPr>
                <w:b w:val="0"/>
                <w:sz w:val="18"/>
              </w:rPr>
              <w:t>Trade payables sharp reduction</w:t>
            </w:r>
          </w:p>
        </w:tc>
        <w:tc>
          <w:tcPr>
            <w:tcW w:type="dxa" w:w="2880"/>
          </w:tcPr>
          <w:p>
            <w:r/>
            <w:r>
              <w:rPr>
                <w:b w:val="0"/>
                <w:sz w:val="18"/>
              </w:rPr>
              <w:t>Non-MSE trade payables fell more than 25% AND remain more than 3% of total assets</w:t>
            </w:r>
          </w:p>
        </w:tc>
        <w:tc>
          <w:tcPr>
            <w:tcW w:type="dxa" w:w="2880"/>
          </w:tcPr>
          <w:p>
            <w:r/>
            <w:r>
              <w:rPr>
                <w:b w:val="0"/>
                <w:sz w:val="18"/>
              </w:rPr>
              <w:t>A large payables reduction that's still material — possible early settlement or reclassification worth understanding</w:t>
            </w:r>
          </w:p>
        </w:tc>
      </w:tr>
      <w:tr>
        <w:tc>
          <w:tcPr>
            <w:tcW w:type="dxa" w:w="2880"/>
          </w:tcPr>
          <w:p>
            <w:r/>
            <w:r>
              <w:rPr>
                <w:b w:val="0"/>
                <w:sz w:val="18"/>
              </w:rPr>
              <w:t>Lease / ROU mismatch (cross-note)</w:t>
            </w:r>
          </w:p>
        </w:tc>
        <w:tc>
          <w:tcPr>
            <w:tcW w:type="dxa" w:w="2880"/>
          </w:tcPr>
          <w:p>
            <w:r/>
            <w:r>
              <w:rPr>
                <w:b w:val="0"/>
                <w:sz w:val="18"/>
              </w:rPr>
              <w:t>New lease liabilities and new ROU asset additions, compared across two different notes, differ by more than 15%</w:t>
            </w:r>
          </w:p>
        </w:tc>
        <w:tc>
          <w:tcPr>
            <w:tcW w:type="dxa" w:w="2880"/>
          </w:tcPr>
          <w:p>
            <w:r/>
            <w:r>
              <w:rPr>
                <w:b w:val="0"/>
                <w:sz w:val="18"/>
              </w:rPr>
              <w:t>A cross-note consistency check — the two notes should broadly agree since they describe the same new leases</w:t>
            </w:r>
          </w:p>
        </w:tc>
      </w:tr>
      <w:tr>
        <w:tc>
          <w:tcPr>
            <w:tcW w:type="dxa" w:w="2880"/>
          </w:tcPr>
          <w:p>
            <w:r>
              <w:t>Non-current liabilities surge</w:t>
            </w:r>
          </w:p>
        </w:tc>
        <w:tc>
          <w:tcPr>
            <w:tcW w:type="dxa" w:w="2880"/>
          </w:tcPr>
          <w:p>
            <w:r>
              <w:t>Total non-current liabilities grew more than 50% year-on-year AND exceed 5% of total assets</w:t>
            </w:r>
          </w:p>
        </w:tc>
        <w:tc>
          <w:tcPr>
            <w:tcW w:type="dxa" w:w="2880"/>
          </w:tcPr>
          <w:p>
            <w:r>
              <w:t>A material shift in the long-term liability structure</w:t>
            </w:r>
          </w:p>
        </w:tc>
      </w:tr>
      <w:tr>
        <w:tc>
          <w:tcPr>
            <w:tcW w:type="dxa" w:w="2880"/>
          </w:tcPr>
          <w:p>
            <w:r>
              <w:t>PPE depreciation reconciliation error</w:t>
            </w:r>
          </w:p>
        </w:tc>
        <w:tc>
          <w:tcPr>
            <w:tcW w:type="dxa" w:w="2880"/>
          </w:tcPr>
          <w:p>
            <w:r>
              <w:t>In the Property, Plant &amp; Equipment note, opening accumulated depreciation + the current year's depreciation charge − disposals does not equal the disclosed closing accumulated depreciation</w:t>
            </w:r>
          </w:p>
        </w:tc>
        <w:tc>
          <w:tcPr>
            <w:tcW w:type="dxa" w:w="2880"/>
          </w:tcPr>
          <w:p>
            <w:r>
              <w:t>An internal arithmetic break in the fixed-asset roll-forward — Ind AS 16 / Schedule II</w:t>
            </w:r>
          </w:p>
        </w:tc>
      </w:tr>
      <w:tr>
        <w:tc>
          <w:tcPr>
            <w:tcW w:type="dxa" w:w="2880"/>
          </w:tcPr>
          <w:p>
            <w:r>
              <w:t>ECL allowance surge</w:t>
            </w:r>
          </w:p>
        </w:tc>
        <w:tc>
          <w:tcPr>
            <w:tcW w:type="dxa" w:w="2880"/>
          </w:tcPr>
          <w:p>
            <w:r>
              <w:t>The allowance for doubtful debts / expected credit loss on trade receivables grew more than 20% year-on-year (High severity if growth exceeds 50%)</w:t>
            </w:r>
          </w:p>
        </w:tc>
        <w:tc>
          <w:tcPr>
            <w:tcW w:type="dxa" w:w="2880"/>
          </w:tcPr>
          <w:p>
            <w:r>
              <w:t>A judgment-heavy provisioning area CAG's own findings call out as a recurring risk category — Ind AS 109</w:t>
            </w:r>
          </w:p>
        </w:tc>
      </w:tr>
      <w:tr>
        <w:tc>
          <w:tcPr>
            <w:tcW w:type="dxa" w:w="2880"/>
          </w:tcPr>
          <w:p>
            <w:r>
              <w:t>Unconfirmed balances</w:t>
            </w:r>
          </w:p>
        </w:tc>
        <w:tc>
          <w:tcPr>
            <w:tcW w:type="dxa" w:w="2880"/>
          </w:tcPr>
          <w:p>
            <w:r>
              <w:t>Trade receivables, payables, or loan balances are disclosed as "subject to confirmation/reconciliation" (severity rises to High if the auditor's own report elevates it into a qualification, Medium if a specific rupee amount is stated, otherwise Low)</w:t>
            </w:r>
          </w:p>
        </w:tc>
        <w:tc>
          <w:tcPr>
            <w:tcW w:type="dxa" w:w="2880"/>
          </w:tcPr>
          <w:p>
            <w:r>
              <w:t>SA 505 external confirmations — a routine disclosure in most filings, tiered by how the company itself worded it rather than firing at a flat severity</w:t>
            </w:r>
          </w:p>
        </w:tc>
      </w:tr>
      <w:tr>
        <w:tc>
          <w:tcPr>
            <w:tcW w:type="dxa" w:w="2880"/>
          </w:tcPr>
          <w:p>
            <w:r>
              <w:t>CWIP ready but not capitalized</w:t>
            </w:r>
          </w:p>
        </w:tc>
        <w:tc>
          <w:tcPr>
            <w:tcW w:type="dxa" w:w="2880"/>
          </w:tcPr>
          <w:p>
            <w:r>
              <w:t>The filing discloses that assets ready for their intended use are still being carried under Capital Work-in-Progress rather than capitalized into PPE</w:t>
            </w:r>
          </w:p>
        </w:tc>
        <w:tc>
          <w:tcPr>
            <w:tcW w:type="dxa" w:w="2880"/>
          </w:tcPr>
          <w:p>
            <w:r>
              <w:t>A named Ind AS 16 non-compliance distinct from the age-based CWIP-overdue check below</w:t>
            </w:r>
          </w:p>
        </w:tc>
      </w:tr>
      <w:tr>
        <w:tc>
          <w:tcPr>
            <w:tcW w:type="dxa" w:w="2880"/>
          </w:tcPr>
          <w:p>
            <w:r>
              <w:t>Audit trail lapse</w:t>
            </w:r>
          </w:p>
        </w:tc>
        <w:tc>
          <w:tcPr>
            <w:tcW w:type="dxa" w:w="2880"/>
          </w:tcPr>
          <w:p>
            <w:r>
              <w:t>The auditor's report indicates the accounting software's audit-trail (edit log) feature was not continuously switched on for the full year</w:t>
            </w:r>
          </w:p>
        </w:tc>
        <w:tc>
          <w:tcPr>
            <w:tcW w:type="dxa" w:w="2880"/>
          </w:tcPr>
          <w:p>
            <w:r>
              <w:t>Rule 11(g) of the Companies (Audit and Auditors) Rules, 2014</w:t>
            </w:r>
          </w:p>
        </w:tc>
      </w:tr>
      <w:tr>
        <w:tc>
          <w:tcPr>
            <w:tcW w:type="dxa" w:w="2880"/>
          </w:tcPr>
          <w:p>
            <w:r>
              <w:t>Title deed not in company's name</w:t>
            </w:r>
          </w:p>
        </w:tc>
        <w:tc>
          <w:tcPr>
            <w:tcW w:type="dxa" w:w="2880"/>
          </w:tcPr>
          <w:p>
            <w:r>
              <w:t>CARO clause 3(i)(c) discloses that title deeds for certain immovable property are not held in the reporting company's own name</w:t>
            </w:r>
          </w:p>
        </w:tc>
        <w:tc>
          <w:tcPr>
            <w:tcW w:type="dxa" w:w="2880"/>
          </w:tcPr>
          <w:p>
            <w:r>
              <w:t>Confirmed across three independent real filings' wording, with a genuine clean-case negative control to avoid firing on the routine version of this clause</w:t>
            </w:r>
          </w:p>
        </w:tc>
      </w:tr>
    </w:tbl>
    <w:p>
      <w:pPr>
        <w:pStyle w:val="Heading2"/>
      </w:pPr>
      <w:r>
        <w:t>Low severity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19"/>
              </w:rPr>
              <w:t>Rule</w:t>
            </w:r>
          </w:p>
        </w:tc>
        <w:tc>
          <w:tcPr>
            <w:tcW w:type="dxa" w:w="2880"/>
            <w:shd w:val="clear" w:color="auto" w:fill="2F5496"/>
          </w:tcPr>
          <w:p>
            <w:r/>
            <w:r>
              <w:rPr>
                <w:b/>
                <w:color w:val="FFFFFF"/>
                <w:sz w:val="19"/>
              </w:rPr>
              <w:t>Exact condition</w:t>
            </w:r>
          </w:p>
        </w:tc>
        <w:tc>
          <w:tcPr>
            <w:tcW w:type="dxa" w:w="2880"/>
            <w:shd w:val="clear" w:color="auto" w:fill="2F5496"/>
          </w:tcPr>
          <w:p>
            <w:r/>
            <w:r>
              <w:rPr>
                <w:b/>
                <w:color w:val="FFFFFF"/>
                <w:sz w:val="19"/>
              </w:rPr>
              <w:t>What it checks</w:t>
            </w:r>
          </w:p>
        </w:tc>
      </w:tr>
      <w:tr>
        <w:tc>
          <w:tcPr>
            <w:tcW w:type="dxa" w:w="2880"/>
          </w:tcPr>
          <w:p>
            <w:r/>
            <w:r>
              <w:rPr>
                <w:b w:val="0"/>
                <w:sz w:val="18"/>
              </w:rPr>
              <w:t>Actuarial rate change</w:t>
            </w:r>
          </w:p>
        </w:tc>
        <w:tc>
          <w:tcPr>
            <w:tcW w:type="dxa" w:w="2880"/>
          </w:tcPr>
          <w:p>
            <w:r/>
            <w:r>
              <w:rPr>
                <w:b w:val="0"/>
                <w:sz w:val="18"/>
              </w:rPr>
              <w:t>The actuarial discount rate used for defined benefit obligations moved by more than 30 basis points year-on-year</w:t>
            </w:r>
          </w:p>
        </w:tc>
        <w:tc>
          <w:tcPr>
            <w:tcW w:type="dxa" w:w="2880"/>
          </w:tcPr>
          <w:p>
            <w:r/>
            <w:r>
              <w:rPr>
                <w:b w:val="0"/>
                <w:sz w:val="18"/>
              </w:rPr>
              <w:t>A material assumption change affecting the present value of retirement obligations</w:t>
            </w:r>
          </w:p>
        </w:tc>
      </w:tr>
      <w:tr>
        <w:tc>
          <w:tcPr>
            <w:tcW w:type="dxa" w:w="2880"/>
          </w:tcPr>
          <w:p>
            <w:r/>
            <w:r>
              <w:rPr>
                <w:b w:val="0"/>
                <w:sz w:val="18"/>
              </w:rPr>
              <w:t>CWIP overdue</w:t>
            </w:r>
          </w:p>
        </w:tc>
        <w:tc>
          <w:tcPr>
            <w:tcW w:type="dxa" w:w="2880"/>
          </w:tcPr>
          <w:p>
            <w:r/>
            <w:r>
              <w:rPr>
                <w:b w:val="0"/>
                <w:sz w:val="18"/>
              </w:rPr>
              <w:t>Any capital work-in-progress project has been outstanding for more than 3 years</w:t>
            </w:r>
          </w:p>
        </w:tc>
        <w:tc>
          <w:tcPr>
            <w:tcW w:type="dxa" w:w="2880"/>
          </w:tcPr>
          <w:p>
            <w:r/>
            <w:r>
              <w:rPr>
                <w:b w:val="0"/>
                <w:sz w:val="18"/>
              </w:rPr>
              <w:t>Schedule III requires ageing disclosure for CWIP — long-outstanding projects may need an impairment look</w:t>
            </w:r>
          </w:p>
        </w:tc>
      </w:tr>
      <w:tr>
        <w:tc>
          <w:tcPr>
            <w:tcW w:type="dxa" w:w="2880"/>
          </w:tcPr>
          <w:p>
            <w:r/>
            <w:r>
              <w:rPr>
                <w:b w:val="0"/>
                <w:sz w:val="18"/>
              </w:rPr>
              <w:t>Unpaid dividend exists</w:t>
            </w:r>
          </w:p>
        </w:tc>
        <w:tc>
          <w:tcPr>
            <w:tcW w:type="dxa" w:w="2880"/>
          </w:tcPr>
          <w:p>
            <w:r/>
            <w:r>
              <w:rPr>
                <w:b w:val="0"/>
                <w:sz w:val="18"/>
              </w:rPr>
              <w:t>The notes text contains the phrase "unpaid dividend"</w:t>
            </w:r>
          </w:p>
        </w:tc>
        <w:tc>
          <w:tcPr>
            <w:tcW w:type="dxa" w:w="2880"/>
          </w:tcPr>
          <w:p>
            <w:r/>
            <w:r>
              <w:rPr>
                <w:b w:val="0"/>
                <w:sz w:val="18"/>
              </w:rPr>
              <w:t>A simple text-presence check — flags for IEPF (Investor Education and Protection Fund) transfer compliance under the Companies Act</w:t>
            </w:r>
          </w:p>
        </w:tc>
      </w:tr>
      <w:tr>
        <w:tc>
          <w:tcPr>
            <w:tcW w:type="dxa" w:w="2880"/>
          </w:tcPr>
          <w:p>
            <w:r/>
            <w:r>
              <w:rPr>
                <w:b w:val="0"/>
                <w:sz w:val="18"/>
              </w:rPr>
              <w:t>CSR vs. bank balance mismatch (cross-note)</w:t>
            </w:r>
          </w:p>
        </w:tc>
        <w:tc>
          <w:tcPr>
            <w:tcW w:type="dxa" w:w="2880"/>
          </w:tcPr>
          <w:p>
            <w:r/>
            <w:r>
              <w:rPr>
                <w:b w:val="0"/>
                <w:sz w:val="18"/>
              </w:rPr>
              <w:t>The unspent CSR amount (from the CSR note) doesn't match the restricted bank balance disclosed elsewhere (difference &gt; ₹1 lakh)</w:t>
            </w:r>
          </w:p>
        </w:tc>
        <w:tc>
          <w:tcPr>
            <w:tcW w:type="dxa" w:w="2880"/>
          </w:tcPr>
          <w:p>
            <w:r/>
            <w:r>
              <w:rPr>
                <w:b w:val="0"/>
                <w:sz w:val="18"/>
              </w:rPr>
              <w:t>A cross-note reconciliation — these two figures should tie out since unspent CSR is typically held in a restricted account</w:t>
            </w:r>
          </w:p>
        </w:tc>
      </w:tr>
      <w:tr>
        <w:tc>
          <w:tcPr>
            <w:tcW w:type="dxa" w:w="2880"/>
          </w:tcPr>
          <w:p>
            <w:r/>
            <w:r>
              <w:rPr>
                <w:b w:val="0"/>
                <w:sz w:val="18"/>
              </w:rPr>
              <w:t>Cash flow header error</w:t>
            </w:r>
          </w:p>
        </w:tc>
        <w:tc>
          <w:tcPr>
            <w:tcW w:type="dxa" w:w="2880"/>
          </w:tcPr>
          <w:p>
            <w:r/>
            <w:r>
              <w:rPr>
                <w:b w:val="0"/>
                <w:sz w:val="18"/>
              </w:rPr>
              <w:t>The cash flow statement's comparative-period column shows the same year-end date twice instead of two different years</w:t>
            </w:r>
          </w:p>
        </w:tc>
        <w:tc>
          <w:tcPr>
            <w:tcW w:type="dxa" w:w="2880"/>
          </w:tcPr>
          <w:p>
            <w:r/>
            <w:r>
              <w:rPr>
                <w:b w:val="0"/>
                <w:sz w:val="18"/>
              </w:rPr>
              <w:t>A presentation/labelling defect — this exact issue was found in the SCI test data used to build this system, and the check was written specifically to catch it</w:t>
            </w:r>
          </w:p>
        </w:tc>
      </w:tr>
      <w:tr>
        <w:tc>
          <w:tcPr>
            <w:tcW w:type="dxa" w:w="2880"/>
          </w:tcPr>
          <w:p>
            <w:r>
              <w:t>Auditor's emphasis / going-concern paragraph</w:t>
            </w:r>
          </w:p>
        </w:tc>
        <w:tc>
          <w:tcPr>
            <w:tcW w:type="dxa" w:w="2880"/>
          </w:tcPr>
          <w:p>
            <w:r>
              <w:t>The auditor's report contains a named "Emphasis of Matter" (Medium) or "Material Uncertainty Related to Going Concern" (High) paragraph</w:t>
            </w:r>
          </w:p>
        </w:tc>
        <w:tc>
          <w:tcPr>
            <w:tcW w:type="dxa" w:w="2880"/>
          </w:tcPr>
          <w:p>
            <w:r>
              <w:t>SA 706 / SA 570 — presence alone is the signal, since these headings only appear when the auditor deliberately draws attention to something</w:t>
            </w:r>
          </w:p>
        </w:tc>
      </w:tr>
      <w:tr>
        <w:tc>
          <w:tcPr>
            <w:tcW w:type="dxa" w:w="2880"/>
          </w:tcPr>
          <w:p>
            <w:r>
              <w:t>Generic material movement</w:t>
            </w:r>
          </w:p>
        </w:tc>
        <w:tc>
          <w:tcPr>
            <w:tcW w:type="dxa" w:w="2880"/>
          </w:tcPr>
          <w:p>
            <w:r>
              <w:t>Any other canonical line item not covered by a dedicated rule above moves more than 20% year-on-year and is material (&gt;0.5% of total assets); severity tiers at 20–50% Low, 50–80% Medium, &gt;80% High</w:t>
            </w:r>
          </w:p>
        </w:tc>
        <w:tc>
          <w:tcPr>
            <w:tcW w:type="dxa" w:w="2880"/>
          </w:tcPr>
          <w:p>
            <w:r>
              <w:t>A catch-all so a material swing in a line item without its own bespoke rule still surfaces</w:t>
            </w:r>
          </w:p>
        </w:tc>
      </w:tr>
    </w:tbl>
    <w:p>
      <w:r>
        <w:br w:type="page"/>
      </w:r>
    </w:p>
    <w:p>
      <w:pPr>
        <w:pStyle w:val="Heading1"/>
      </w:pPr>
      <w:r>
        <w:t>8. Layer 5 — Standards Retrieval and Local Narrative Generation</w:t>
      </w:r>
    </w:p>
    <w:p>
      <w:pPr>
        <w:pStyle w:val="Heading2"/>
      </w:pPr>
      <w:r>
        <w:t>Retrieval</w:t>
      </w:r>
    </w:p>
    <w:p>
      <w:pPr>
        <w:spacing w:after="160"/>
      </w:pPr>
      <w:r>
        <w:rPr>
          <w:b w:val="0"/>
          <w:i w:val="0"/>
          <w:sz w:val="21"/>
        </w:rPr>
        <w:t>Each triggered flag carries a pre-written search query (e.g. "going concern liquidity cash flow assessment Ind AS 1" for the cash-decline rule). ChromaDB runs a semantic similarity search against the 4,464 indexed standards chunks and returns the top 3 matches with their source filename, page number, and similarity score. This is what grounds every "Ind AS X, paragraph Y" citation in the final report in real, retrieved text — the citation isn't the model recalling a standard from training; it's the model reading an excerpt it was just handed and citing what's actually in it.</w:t>
      </w:r>
    </w:p>
    <w:p>
      <w:pPr>
        <w:pStyle w:val="Heading2"/>
      </w:pPr>
      <w:r>
        <w:t>Generation</w:t>
      </w:r>
    </w:p>
    <w:p>
      <w:pPr>
        <w:spacing w:after="160"/>
      </w:pPr>
      <w:r>
        <w:rPr>
          <w:b w:val="0"/>
          <w:i w:val="0"/>
          <w:sz w:val="21"/>
        </w:rPr>
        <w:t>Default path (config.LOCAL_LLM_USE_TEMPLATES=True, the current default): pipeline/generator/templates.py builds the observation, recommendation, and standard_reference deterministically from the flag's own evidence dict, for every flag_id with a registered template (currently all ~21 in flags.py/consistency.py — each already carries a known governing standard baked into standard_query at the point the check was written, so there's no real judgment left for a model to make on those three fields). The one model call that remains per flag is the addendum: given the templated fact and the resolved note text, a much smaller prompt (no evidence JSON, no retrieved standard text) asks the model to decide whether the note explains the fact, responding with either one qualifying sentence or the literal word NONE. Measured effect on the reference fixture: llm_generation dropped from ~1780s to ~320-420s for the same 11 flags.</w:t>
        <w:br/>
        <w:br/>
        <w:t>Fallback path (LOCAL_LLM_USE_TEMPLATES=False, or any flag_id without a registered template): the original full-generation call. The system prompt instructs the model — in writing — to: (1) only use figures present in the evidence or note content given to it, (2) only cite a standard paragraph number if that number literally appears in the retrieved text, never invent one, and (3) keep recommendations specific.</w:t>
      </w:r>
    </w:p>
    <w:p>
      <w:pPr>
        <w:pStyle w:val="Heading2"/>
      </w:pPr>
      <w:r>
        <w:t>Real bugs found and fixed in the generation layer</w:t>
      </w:r>
    </w:p>
    <w:p>
      <w:pPr>
        <w:pStyle w:val="ListBullet"/>
      </w:pPr>
      <w:r>
        <w:rPr>
          <w:b/>
        </w:rPr>
        <w:t xml:space="preserve">Concurrency: </w:t>
      </w:r>
      <w:r>
        <w:t>Running flags through Streamlit could leave an abandoned browser session's generation call still executing server-side (Streamlit can't forcibly interrupt a thread blocked inside a Metal/GPU call), and a second session would then share the same unsynchronized model object — corrupting output. Fixed with a process-wide lock serializing every generation call.</w:t>
      </w:r>
    </w:p>
    <w:p>
      <w:pPr>
        <w:pStyle w:val="ListBullet"/>
      </w:pPr>
      <w:r>
        <w:rPr>
          <w:b/>
        </w:rPr>
        <w:t xml:space="preserve">Threading: </w:t>
      </w:r>
      <w:r>
        <w:t>asyncio.to_thread() was handing sequential generation calls to different worker threads from Python's default thread pool. Apple's mlx/Metal GPU command queue isn't guaranteed safe across arbitrary thread hand-offs, and this reliably hung the pipeline after 4–5 flags in testing. Fixed by running every generation call synchronously on one consistent thread — there was no real concurrency benefit to lose, since one local model can't parallelize its own compute anyway.</w:t>
      </w:r>
    </w:p>
    <w:p>
      <w:pPr>
        <w:pStyle w:val="Heading2"/>
      </w:pPr>
      <w:r>
        <w:t>The built-in self-check</w:t>
      </w:r>
    </w:p>
    <w:p>
      <w:pPr>
        <w:spacing w:after="160"/>
      </w:pPr>
      <w:r>
        <w:rPr>
          <w:b w:val="0"/>
          <w:i w:val="0"/>
          <w:sz w:val="21"/>
        </w:rPr>
        <w:t>After each observation is generated, a lightweight check parses every number mentioned in the model's own text and compares it against the flag's evidence values (within 1% tolerance). If a headline figure doesn't match, a warning is logged. This was validated against a real, reproducible failure mode: the 7B model occasionally renders a large number like ₹124,551 as "₹12,455.1" — same digits, decimal point in the wrong place. The check catches this and logs it; it doesn't silently fix or block the report, since the underlying evidence numbers (visible in the report's own Key Movements table, and in the "Evidence data" expander under each observation in the app) are always correct — only the model's restated prose can occasionally slip.</w:t>
      </w:r>
    </w:p>
    <w:p>
      <w:r>
        <w:br w:type="page"/>
      </w:r>
    </w:p>
    <w:p>
      <w:pPr>
        <w:pStyle w:val="Heading1"/>
      </w:pPr>
      <w:r>
        <w:t>9. Report Export and the Gradio Workflow</w:t>
      </w:r>
    </w:p>
    <w:p>
      <w:pPr>
        <w:spacing w:after="160"/>
      </w:pPr>
      <w:r>
        <w:rPr>
          <w:b w:val="0"/>
          <w:i w:val="0"/>
          <w:sz w:val="21"/>
        </w:rPr>
        <w:t>The final AuditReport (a validated pydantic model) is rendered two ways: live in the Gradio app as four tabs (Observations, Key Movements, Ratios, Raw Flags), and as a downloadable Word document via python-docx — a title, disclaimer box, a summary table by risk rating, a colour-coded observations table (light red / amber / green for High / Medium / Low), a key movements table, a ratios table, and a numbered next-steps list drawn from the High and Medium recommendations. The same disclaimer appears on every report, and it's meant literally, not as boilerplate: "Preliminary desk-based observations from analytical review only. Not corroborated through vouching, third-party confirmation, or management inquiry. Validate during fieldwork before inclusion in any final report."</w:t>
      </w:r>
    </w:p>
    <w:p>
      <w:pPr>
        <w:spacing w:after="160"/>
      </w:pPr>
      <w:r>
        <w:rPr>
          <w:b w:val="0"/>
          <w:i w:val="0"/>
          <w:sz w:val="21"/>
        </w:rPr>
        <w:t>Upload flow: an Annual Report / Notes &amp; Schedules document in PDF, Word, or image format (required — this is the whole report, face statements included, not just the notes; the field was renamed from “Notes &amp; Schedules” after a real user upload was rejected despite genuinely containing the right content) plus, optionally, a separate Excel workbook (Balance Sheet, P&amp;L, Cash Flow) if the base financials are available separately — numbers read directly from cells are more reliable than numbers pulled from a PDF table, but aren't required if everything is already in the one PDF.</w:t>
      </w:r>
    </w:p>
    <w:p>
      <w:r>
        <w:br w:type="page"/>
      </w:r>
    </w:p>
    <w:p>
      <w:pPr>
        <w:pStyle w:val="Heading1"/>
      </w:pPr>
      <w:r>
        <w:t>10. What Was Actually Tested</w:t>
      </w:r>
    </w:p>
    <w:p>
      <w:pPr>
        <w:spacing w:after="160"/>
      </w:pPr>
      <w:r>
        <w:rPr>
          <w:b w:val="0"/>
          <w:i w:val="0"/>
          <w:sz w:val="21"/>
        </w:rPr>
        <w:t>Every claim in this document was verified against a real run, not just read from the code:</w:t>
      </w:r>
    </w:p>
    <w:p>
      <w:pPr>
        <w:pStyle w:val="ListBullet"/>
      </w:pPr>
      <w:r>
        <w:t>78-page real annual report PDF, correctly split into 48 notes with 7 cross-references.</w:t>
      </w:r>
    </w:p>
    <w:p>
      <w:pPr>
        <w:pStyle w:val="ListBullet"/>
      </w:pPr>
      <w:r>
        <w:t>Standards corpus: 105 files, 4,464 chunks indexed; re-run confirmed idempotent (7.4s, 0 duplicates on the second pass).</w:t>
      </w:r>
    </w:p>
    <w:p>
      <w:pPr>
        <w:pStyle w:val="ListBullet"/>
      </w:pPr>
      <w:r>
        <w:t>Full pipeline run through the live browser UI (not just backend calls): upload → 5-layer pipeline (~3 minutes) → rendered report with correct risk counts → clicked the real Download button → verified the downloaded DOCX opens correctly.</w:t>
      </w:r>
    </w:p>
    <w:p>
      <w:pPr>
        <w:pStyle w:val="ListBullet"/>
      </w:pPr>
      <w:r>
        <w:t>PDF-only path (no Excel): 704 of 972 line items still mapped correctly.</w:t>
      </w:r>
    </w:p>
    <w:p>
      <w:pPr>
        <w:pStyle w:val="ListBullet"/>
      </w:pPr>
      <w:r>
        <w:t>Word-document input: structured tables correctly extracted from a real .docx.</w:t>
      </w:r>
    </w:p>
    <w:p>
      <w:pPr>
        <w:pStyle w:val="ListBullet"/>
      </w:pPr>
      <w:r>
        <w:t>Image OCR path: company name, period, and note text all correctly recognized from a synthetic test image.</w:t>
      </w:r>
    </w:p>
    <w:p>
      <w:pPr>
        <w:pStyle w:val="ListBullet"/>
      </w:pPr>
      <w:r>
        <w:t>The CASH_DECLINE rule independently reproduced an 83% cash-decline finding matching a manually prepared reference audit memo for the same company — arrived at completely independently by the deterministic rules, not copied.</w:t>
      </w:r>
    </w:p>
    <w:p>
      <w:r>
        <w:br w:type="page"/>
      </w:r>
    </w:p>
    <w:p>
      <w:pPr>
        <w:pStyle w:val="ListBullet"/>
      </w:pPr>
      <w:r>
        <w:t>Google Cloud Run deployment, full pipeline, live browser UI: uploaded the same reference Excel + notes PDF used in the Mac testing above to the deployed Cloud Run URL, waited through the real (CPU-bound) run, and got back the exact same result — 3 High / 7 Medium / 1 Low, 11 observations, same cited figures — confirming the cloud deployment and the local one produce identical output.</w:t>
      </w:r>
    </w:p>
    <w:p>
      <w:pPr>
        <w:pStyle w:val="ListBullet"/>
      </w:pPr>
      <w:r>
        <w:t>Templated generation (the replacement for parallel workers, see Section 12): confirmed producing byte-identical risk breakdowns to the full-LLM path on the reference fixture (3 High / 7 Medium / 1 Low, 11 observations) while cutting generation time by roughly 5-6x.</w:t>
      </w:r>
    </w:p>
    <w:p>
      <w:pPr>
        <w:pStyle w:val="Heading1"/>
      </w:pPr>
      <w:r>
        <w:t>11. Known Limitations — Stated Plainly</w:t>
      </w:r>
    </w:p>
    <w:p>
      <w:pPr>
        <w:pStyle w:val="ListBullet"/>
      </w:pPr>
      <w:r>
        <w:rPr>
          <w:b/>
        </w:rPr>
        <w:t xml:space="preserve">Not a finished audit. </w:t>
      </w:r>
      <w:r>
        <w:t>Every report is a preliminary, desk-based analytical review — not a substitute for vouching, confirmations, or management inquiry.</w:t>
      </w:r>
    </w:p>
    <w:p>
      <w:pPr>
        <w:pStyle w:val="ListBullet"/>
      </w:pPr>
      <w:r>
        <w:rPr>
          <w:b/>
        </w:rPr>
        <w:t xml:space="preserve">Fixed thresholds, not client-specific materiality. </w:t>
      </w:r>
      <w:r>
        <w:t>The rule thresholds (40% cash decline, 5% materiality, 20-point divergence, and so on) are fixed general rules of thumb written into the code — the same numbers apply regardless of company size. They are not derived from this specific engagement's materiality assessment, which in real practice is usually set per-client as a percentage of revenue, profit, or assets. Changing this would mean editing pipeline/analytics/flags.py, not adjusting a setting.</w:t>
      </w:r>
    </w:p>
    <w:p>
      <w:pPr>
        <w:pStyle w:val="ListBullet"/>
      </w:pPr>
      <w:r>
        <w:rPr>
          <w:b/>
        </w:rPr>
        <w:t xml:space="preserve">Local-model transcription errors. </w:t>
      </w:r>
      <w:r>
        <w:t>A 7-billion-parameter local model is smaller than a frontier commercial model. It can occasionally mis-format a large number in its written sentence (decimal point shifted) even though the correct figure was handed to it. The built-in check (Section 8) catches most of these and logs a warning; the correct number is always visible in the Key Movements table and the Evidence data panel regardless.</w:t>
      </w:r>
    </w:p>
    <w:p>
      <w:pPr>
        <w:pStyle w:val="ListBullet"/>
      </w:pPr>
      <w:r>
        <w:rPr>
          <w:b/>
        </w:rPr>
        <w:t>Apple Silicon is the fast path, not the only path. mlx-lm (Metal-accelerated) only runs on Apple Silicon macOS, but the llama.cpp/GGUF backend runs the same model on any CPU and is what both the Google Cloud Run deployment and any non-Mac local machine use — it's just meaningfully slower (minutes per observation on CPU vs. seconds on a Mac's GPU). See Section 12.</w:t>
      </w:r>
      <w:r/>
    </w:p>
    <w:p>
      <w:pPr>
        <w:pStyle w:val="ListBullet"/>
      </w:pPr>
      <w:r>
        <w:rPr>
          <w:b/>
        </w:rPr>
        <w:t>Extraction quality depends on source formatting. This has gotten materially more robust this session — non-ruled-line PDF tables and Excel workbooks with generic sheet names (e.g. a PDF-to-Excel conversion tool's “Table 1/2/3”) are now both handled — but a company that reformats its tables very unusually, or states figures in a unit other than lakh (the report always labels figures “lakh” regardless of what the source document actually states), may still need manual review.</w:t>
      </w:r>
      <w:r/>
    </w:p>
    <w:p>
      <w:pPr>
        <w:pStyle w:val="ListBullet"/>
      </w:pPr>
      <w:r>
        <w:t>Note-boundary detection can occasionally swallow the wrong span. When a document's later notes switch numbering style (e.g. from "NOTE 15:" to a bare "19."), the boundary detector can fail to find the next real note and let the current one run for a large, wrong span. Confirmed on a real 570-page filing where this swallowed the company's entire Balance Sheet, P&amp;L, and Cash Flow Statement into a bogus note — meaning the Key Financial Movements and Computed Ratios sections come back empty for that filing even though the text-based checks (qualified opinion, fraud disclosure, title deeds, etc.) still work correctly off the raw document text. Flagged as needing careful, tested work rather than a quick regex patch, given this exact pattern has produced false positives before.</w:t>
      </w:r>
    </w:p>
    <w:p>
      <w:pPr>
        <w:pStyle w:val="ListBullet"/>
      </w:pPr>
      <w:r>
        <w:t>Uncommon table shapes aren't yet handled. A company that reports in dual currency (e.g. INR lakhs and USD side by side, a 5-column shape instead of the assumed 3-column Note/Current/Prior) will have its face-statement figures misread, since the generic line-item mapper assumes a single current and prior value per row. Confirmed on a real filing; not yet fixed.</w:t>
      </w:r>
    </w:p>
    <w:p>
      <w:pPr>
        <w:pStyle w:val="ListBullet"/>
      </w:pPr>
      <w:r>
        <w:t>Upload size is capped by the platform. Cloud Run rejects uploads above roughly 32MB outright (HTTP 413) before the file ever reaches the pipeline — confirmed on a real 67MB scanned annual report, which cannot currently be analyzed via the hosted deployment at all.</w:t>
      </w:r>
    </w:p>
    <w:p>
      <w:pPr>
        <w:pStyle w:val="ListBullet"/>
      </w:pPr>
      <w:r>
        <w:t>Old Indian GAAP (AS) filings silently skip Ind-AS-specific rules. A company still reporting under AS-15/AS-18 rather than Ind AS has no Right-of-Use asset or Expected Credit Loss line items in its accounts at all — not because there's nothing to flag, but because those constructs don't exist under that framework. The relevant rules correctly find nothing, which currently looks identical to a clean Ind AS filing rather than "this check doesn't apply here."</w:t>
      </w:r>
    </w:p>
    <w:p/>
    <w:p>
      <w:pPr>
        <w:pStyle w:val="Heading1"/>
      </w:pPr>
      <w:r>
        <w:t>12. Cloud Deployment (Google Cloud Run)</w:t>
      </w:r>
    </w:p>
    <w:p>
      <w:pPr/>
      <w:r>
        <w:t>The same codebase also runs as a hosted Cloud Run service — a Docker image built from a plain python:3.11-slim base, with the standards index and the GGUF model both baked in at build time (not downloaded on first request) so a cold container starts ready to work. Config: 8 vCPU, 32GB memory, session-affinity on, max-instances 3, scales to zero between reports. Deployed in two regions: asia-southeast1 (primary, serving live traffic — moved here from us-central1 after an L4 GPU quota stockout in US regions, and it also cuts latency for the tool's actual users in India) and us-central1 (kept running as a fallback, synced on every deploy but not carrying primary traffic).</w:t>
      </w:r>
    </w:p>
    <w:p>
      <w:pPr>
        <w:pStyle w:val="Heading2"/>
      </w:pPr>
      <w:r>
        <w:t>Real bugs found and fixed getting this working</w:t>
      </w:r>
    </w:p>
    <w:p>
      <w:pPr/>
      <w:r>
        <w:t>Every one of these was found by actually running a full report against the live deployment, not by inspection.</w:t>
      </w:r>
    </w:p>
    <w:p>
      <w:pPr>
        <w:pStyle w:val="ListBullet"/>
      </w:pPr>
      <w:r>
        <w:t>Session affinity: Gradio uploads a file over one HTTP request, then runs the analysis over a separate request — without pinning both to the same Cloud Run instance, the analysis step couldn't find the file the upload step just wrote. Fixed with Cloud Run's --session-affinity flag.</w:t>
      </w:r>
    </w:p>
    <w:p>
      <w:pPr>
        <w:pStyle w:val="ListBullet"/>
      </w:pPr>
      <w:r>
        <w:t>Hugging Face Hub rate limit: the code was calling the model-loading function that re-verifies the file against the Hub's API on every cold start, even though the model was already sitting on local disk. That API has a hard 500-requests-per-5-minutes-per-IP limit for unauthenticated calls, and repeated deploys/restarts from one IP hit it, breaking generation outright with a 429. Fixed by loading straight from the local file path when it exists — zero network calls at generation time.</w:t>
      </w:r>
    </w:p>
    <w:p>
      <w:pPr>
        <w:pStyle w:val="ListBullet"/>
      </w:pPr>
      <w:r>
        <w:t>Concurrency-starved heartbeat killed long runs: Gradio's frontend polls a lightweight endpoint periodically to detect if the server restarted. At Cloud Run's default concurrency=1, that heartbeat could never get a request slot while the one instance was busy with the real (many-minutes-long) generation call — every heartbeat failed for the whole run, and Gradio's client eventually treated that as "the server restarted" and force-reloaded the page, silently killing a 44-minute in-progress report. Fixed by raising concurrency to 10 — the actual generation work is still serialized to one (or two, with the parallel-worker change below) at a time by the code itself, not by this setting, so this only unblocks housekeeping requests.</w:t>
      </w:r>
    </w:p>
    <w:p>
      <w:pPr>
        <w:pStyle w:val="Heading2"/>
      </w:pPr>
      <w:r>
        <w:t>Report persistence (“Recent Reports”)</w:t>
      </w:r>
    </w:p>
    <w:p>
      <w:pPr>
        <w:pStyle w:val="ListBullet"/>
      </w:pPr>
      <w:r>
        <w:t>Every generated report is also uploaded to a GCS bucket (export/report_storage.py: upload_report/list_recent_reports/download_report), independent of whether the browser session that requested it is still connected. A “Recent Reports” dropdown in the Gradio UI lets a user re-download any report from the last 20 runs, regardless of which region or instance produced it. This exists specifically to survive a real, recurring failure mode: a browser losing its connection to a long-running analysis (mobile networks, tab backgrounding) used to mean the finished report was unrecoverable even though the backend had completed successfully. All storage calls fail open (swallow exceptions, log, and continue) so a GCS outage degrades to “no recent-reports list” rather than blocking a live analysis.</w:t>
      </w:r>
    </w:p>
    <w:p>
      <w:pPr>
        <w:pStyle w:val="Heading2"/>
      </w:pPr>
      <w:r>
        <w:t>GPU: quota approved, validated, not yet cut to production</w:t>
      </w:r>
    </w:p>
    <w:p>
      <w:pPr/>
      <w:r>
        <w:t>Cloud Run supports attaching an NVIDIA L4 or RTX Pro 6000 (Blackwell) GPU. A CUDA build was completed and validated on a real request — an 11x speedup on LLM narrative generation was measured and confirmed correct — via a --no-traffic --tag test revision. GPU quota was subsequently approved in asia-southeast1. Production traffic has not been cut over to it: attaching GPU on Cloud Run requires a fixed cpu=20 / memory=80Gi shape (not the flexible CPU-only ranges), a real, ongoing cost increase, so the cutover decision was left open rather than made silently. The validated GPU revision still exists at 0% traffic if the cutover is approved.</w:t>
      </w:r>
    </w:p>
    <w:p>
      <w:pPr>
        <w:pStyle w:val="Heading2"/>
      </w:pPr>
      <w:r>
        <w:t>The CPU-only speedup that is live: templated generation</w:t>
      </w:r>
    </w:p>
    <w:p>
      <w:pPr/>
      <w:r>
        <w:t>Generation was originally strictly serial — one model call per flag, every field of every observation written by the model. Running multiple parallel model instances on the same 8 vCPUs was tried first (LOCAL_LLM_N_WORKERS&gt;1, still present in the code, defaulted off) and measured slower, not faster: llama.cpp decoding on CPU is memory-bandwidth-bound, not core-bound, so multiple instances just compete for the same memory bus instead of getting a clean speedup from separate cores (~33.5 min vs. ~29.4 min single-worker baseline on a real run). The change that actually worked was architectural, not concurrency: since every flag's governing standard and fact pattern is already known deterministically (see Section 5's normalization audit and Section 7's rule list), most of each observation no longer needs a model call at all — see Section 8's “Default path” description. A real 11-flag run went from ~1780s of LLM generation to ~320-420s, a larger win on one CPU instance than the parallel-worker approach ever achieved across two.</w:t>
      </w:r>
    </w:p>
    <w:p>
      <w:pPr>
        <w:pStyle w:val="Heading1"/>
      </w:pPr>
      <w:r>
        <w:t>13. Extraction and Mapping Robustness Audit</w:t>
      </w:r>
    </w:p>
    <w:p>
      <w:pPr/>
      <w:r>
        <w:t>A round of real user-submitted filings (two NBFC annual reports, different from the reference fixture) surfaced several extraction and mapping bugs that a systematic pass then closed as a set, all confirmed with zero regression on the reference fixture:</w:t>
      </w:r>
    </w:p>
    <w:p>
      <w:pPr>
        <w:pStyle w:val="ListBullet"/>
      </w:pPr>
      <w:r>
        <w:t>PDF table extraction silently returned structurally-shaped but entirely empty-labeled tables on pages where columns are separated by whitespace rather than ruled lines — recovered via a text-line reconstruction fallback (Section 3).</w:t>
      </w:r>
    </w:p>
    <w:p>
      <w:pPr>
        <w:pStyle w:val="ListBullet"/>
      </w:pPr>
      <w:r>
        <w:t>Excel sheet-type detection relied on sheet name alone, so a PDF-to-Excel export with generically-named sheets ('Table 1/2/3') silently disabled the cross-statement guard for the whole workbook — now falls back to the sheet's own content when the name gives no signal.</w:t>
      </w:r>
    </w:p>
    <w:p>
      <w:pPr>
        <w:pStyle w:val="ListBullet"/>
      </w:pPr>
      <w:r>
        <w:t>A PDF rendering quirk occasionally splits a total row's leading digit into its own token ('6 6,152.58' instead of '66,152.58'); fixed in both the places it can occur — the text-reconstruction fallback above, and pdfplumber's native table-cell path, where the split digit and value land in the same cell as one string that the number parser correctly (by design) refuses to guess at.</w:t>
      </w:r>
    </w:p>
    <w:p>
      <w:pPr>
        <w:pStyle w:val="ListBullet"/>
      </w:pPr>
      <w:r>
        <w:t>The fuzzy-match threshold and candidate-selection audit described in Section 5.</w:t>
      </w:r>
    </w:p>
    <w:p>
      <w:pPr>
        <w:pStyle w:val="ListBullet"/>
      </w:pPr>
      <w:r>
        <w:t>PaddleOCR crash on scanned PDFs: PaddleX (which paddleocr 3.x is built on) enables an x86-only oneDNN CPU backend by default, which crashes on at least one op in the OCR pipeline on Cloud Run's CPUs — never reproduces on Apple Silicon, which doesn't use that backend at all. Fixed via PADDLE_PDX_ENABLE_MKLDNN_BYDEFAULT=False, set before paddleocr is ever imported.</w:t>
      </w:r>
    </w:p>
    <w:p>
      <w:pPr>
        <w:pStyle w:val="ListBullet"/>
      </w:pPr>
      <w:r>
        <w:t>Container memory raised from 16Gi to 32Gi after a large real scanned PDF (~19MB, 40+ pages) killed the request silently mid-OCR twice in a row — no Python exception, no app-level error, just a platform-level "request timed out or exited" warning and a cold restart a few minutes later. That signature (silent death, nothing catchable) is consistent with an OOM kill: PaddleOCR runs several models at once while holding page-image buffers for a many-page document, which the original 16Gi sizing (based on the LLM + embedding model baseline alone) didn't account for. Not yet re-confirmed against the same file post-bump.</w:t>
      </w:r>
    </w:p>
    <w:p>
      <w:r>
        <w:rPr>
          <w:i/>
          <w:color w:val="808080"/>
          <w:sz w:val="18"/>
        </w:rPr>
        <w:t>Complete technical reference for audit-risk-report-generator. See README.md for setup and run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