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7D0C" w:rsidRPr="00D409B0" w:rsidRDefault="00757D0C" w:rsidP="00757D0C">
      <w:pPr>
        <w:pBdr>
          <w:top w:val="single" w:sz="6" w:space="12" w:color="D5DBDB"/>
        </w:pBdr>
        <w:shd w:val="clear" w:color="auto" w:fill="FFFFFF"/>
        <w:spacing w:before="240" w:after="180" w:line="294" w:lineRule="atLeast"/>
        <w:outlineLvl w:val="1"/>
        <w:rPr>
          <w:rFonts w:eastAsia="Times New Roman" w:cs="Times New Roman"/>
          <w:color w:val="16191F"/>
          <w:sz w:val="39"/>
          <w:szCs w:val="39"/>
        </w:rPr>
      </w:pPr>
      <w:r w:rsidRPr="00D409B0">
        <w:rPr>
          <w:rFonts w:eastAsia="Times New Roman" w:cs="Times New Roman"/>
          <w:color w:val="16191F"/>
          <w:sz w:val="39"/>
          <w:szCs w:val="39"/>
        </w:rPr>
        <w:t>VPC and subnets</w:t>
      </w:r>
    </w:p>
    <w:tbl>
      <w:tblPr>
        <w:tblW w:w="9109" w:type="dxa"/>
        <w:tblCellSpacing w:w="15" w:type="dxa"/>
        <w:shd w:val="clear" w:color="auto" w:fill="FFFFFF"/>
        <w:tblCellMar>
          <w:top w:w="15" w:type="dxa"/>
          <w:left w:w="15" w:type="dxa"/>
          <w:bottom w:w="15" w:type="dxa"/>
          <w:right w:w="15" w:type="dxa"/>
        </w:tblCellMar>
        <w:tblLook w:val="04A0"/>
      </w:tblPr>
      <w:tblGrid>
        <w:gridCol w:w="1544"/>
        <w:gridCol w:w="818"/>
        <w:gridCol w:w="6747"/>
      </w:tblGrid>
      <w:tr w:rsidR="00757D0C" w:rsidRPr="00D409B0" w:rsidTr="00300240">
        <w:trPr>
          <w:trHeight w:val="332"/>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757D0C" w:rsidRPr="00D409B0" w:rsidRDefault="00757D0C" w:rsidP="00757D0C">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757D0C" w:rsidRPr="00D409B0" w:rsidRDefault="00757D0C" w:rsidP="00757D0C">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757D0C" w:rsidRPr="00D409B0" w:rsidRDefault="00757D0C" w:rsidP="00757D0C">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757D0C" w:rsidRPr="00D409B0" w:rsidTr="00300240">
        <w:trPr>
          <w:trHeight w:val="1805"/>
          <w:tblCellSpacing w:w="15" w:type="dxa"/>
        </w:trPr>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VPCs per Region</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240" w:line="360" w:lineRule="atLeast"/>
              <w:rPr>
                <w:rFonts w:eastAsia="Times New Roman" w:cs="Times New Roman"/>
                <w:color w:val="16191F"/>
                <w:sz w:val="24"/>
                <w:szCs w:val="24"/>
              </w:rPr>
            </w:pPr>
            <w:r w:rsidRPr="00D409B0">
              <w:rPr>
                <w:rFonts w:eastAsia="Times New Roman" w:cs="Times New Roman"/>
                <w:color w:val="16191F"/>
                <w:sz w:val="24"/>
                <w:szCs w:val="24"/>
              </w:rPr>
              <w:t>The quota for internet gateways per Region is directly correlated to this one. Increasing this quota increases the quota on internet gateways per Region by the same amount.</w:t>
            </w:r>
          </w:p>
          <w:p w:rsidR="00757D0C" w:rsidRPr="00D409B0" w:rsidRDefault="00757D0C" w:rsidP="00757D0C">
            <w:pPr>
              <w:spacing w:before="240" w:after="0" w:line="360" w:lineRule="atLeast"/>
              <w:rPr>
                <w:rFonts w:eastAsia="Times New Roman" w:cs="Times New Roman"/>
                <w:color w:val="16191F"/>
                <w:sz w:val="24"/>
                <w:szCs w:val="24"/>
              </w:rPr>
            </w:pPr>
            <w:r w:rsidRPr="00D409B0">
              <w:rPr>
                <w:rFonts w:eastAsia="Times New Roman" w:cs="Times New Roman"/>
                <w:color w:val="16191F"/>
                <w:sz w:val="24"/>
                <w:szCs w:val="24"/>
              </w:rPr>
              <w:t>You can have 100s of VPCs per Region for your needs even though the default quota is 5 VPCs per Region.</w:t>
            </w:r>
          </w:p>
        </w:tc>
      </w:tr>
      <w:tr w:rsidR="00757D0C" w:rsidRPr="00D409B0" w:rsidTr="00300240">
        <w:trPr>
          <w:trHeight w:val="637"/>
          <w:tblCellSpacing w:w="15" w:type="dxa"/>
        </w:trPr>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Subnets per VPC</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200</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w:t>
            </w:r>
          </w:p>
        </w:tc>
      </w:tr>
      <w:tr w:rsidR="00757D0C" w:rsidRPr="00D409B0" w:rsidTr="00300240">
        <w:trPr>
          <w:trHeight w:val="956"/>
          <w:tblCellSpacing w:w="15" w:type="dxa"/>
        </w:trPr>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IPv4 CIDR blocks per VPC</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primary CIDR block and all secondary CIDR blocks count toward this quota. This quota can be increased up to a maximum of 50.</w:t>
            </w:r>
          </w:p>
        </w:tc>
      </w:tr>
      <w:tr w:rsidR="00757D0C" w:rsidRPr="00D409B0" w:rsidTr="00300240">
        <w:trPr>
          <w:trHeight w:val="44"/>
          <w:tblCellSpacing w:w="15" w:type="dxa"/>
        </w:trPr>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IPv6 CIDR blocks per VPC</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1</w:t>
            </w:r>
          </w:p>
        </w:tc>
        <w:tc>
          <w:tcPr>
            <w:tcW w:w="0" w:type="auto"/>
            <w:tcBorders>
              <w:top w:val="nil"/>
              <w:left w:val="nil"/>
              <w:bottom w:val="single" w:sz="6" w:space="0" w:color="D5DBDB"/>
              <w:right w:val="single" w:sz="6" w:space="0" w:color="D5DBDB"/>
            </w:tcBorders>
            <w:shd w:val="clear" w:color="auto" w:fill="FFFFFF"/>
            <w:hideMark/>
          </w:tcPr>
          <w:p w:rsidR="00757D0C" w:rsidRPr="00D409B0" w:rsidRDefault="00757D0C" w:rsidP="00757D0C">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cannot be increased.</w:t>
            </w:r>
          </w:p>
        </w:tc>
      </w:tr>
    </w:tbl>
    <w:p w:rsidR="00AA0B93" w:rsidRPr="00D409B0" w:rsidRDefault="00AA0B93" w:rsidP="00D409B0">
      <w:pPr>
        <w:spacing w:after="0"/>
      </w:pPr>
    </w:p>
    <w:p w:rsidR="00757D0C" w:rsidRPr="00D409B0" w:rsidRDefault="00757D0C" w:rsidP="00D409B0">
      <w:pPr>
        <w:pStyle w:val="Heading2"/>
        <w:pBdr>
          <w:top w:val="single" w:sz="6" w:space="12" w:color="D5DBDB"/>
        </w:pBdr>
        <w:shd w:val="clear" w:color="auto" w:fill="FFFFFF"/>
        <w:spacing w:before="0" w:beforeAutospacing="0" w:after="0" w:afterAutospacing="0"/>
        <w:rPr>
          <w:rFonts w:asciiTheme="minorHAnsi" w:hAnsiTheme="minorHAnsi"/>
          <w:b w:val="0"/>
          <w:bCs w:val="0"/>
          <w:color w:val="16191F"/>
          <w:sz w:val="39"/>
          <w:szCs w:val="39"/>
        </w:rPr>
      </w:pPr>
      <w:r w:rsidRPr="00D409B0">
        <w:rPr>
          <w:rFonts w:asciiTheme="minorHAnsi" w:hAnsiTheme="minorHAnsi"/>
          <w:b w:val="0"/>
          <w:bCs w:val="0"/>
          <w:color w:val="16191F"/>
          <w:sz w:val="39"/>
          <w:szCs w:val="39"/>
        </w:rPr>
        <w:t>DNS</w:t>
      </w:r>
    </w:p>
    <w:p w:rsidR="00300240" w:rsidRPr="00D409B0" w:rsidRDefault="00300240" w:rsidP="00D409B0">
      <w:pPr>
        <w:spacing w:after="0"/>
        <w:rPr>
          <w:color w:val="16191F"/>
          <w:shd w:val="clear" w:color="auto" w:fill="FFFFFF"/>
        </w:rPr>
      </w:pPr>
      <w:r w:rsidRPr="00D409B0">
        <w:rPr>
          <w:color w:val="16191F"/>
          <w:shd w:val="clear" w:color="auto" w:fill="FFFFFF"/>
        </w:rPr>
        <w:t>Each EC2 instance limits the number of packets that can be sent to the Amazon Route 53 Resolver (specifically the .2 address, such as 10.0.0.2, and 169.254.169.253) to a maximum of 1024 packets per second per network interface. This quota cannot be increased. The number of DNS queries per second supported by the Amazon Route 53 Resolver varies by the type of query, the size of response, and the protocol in use. For more information and recommendations for a scalable DNS architecture, see the </w:t>
      </w:r>
      <w:hyperlink r:id="rId5" w:tgtFrame="_blank" w:history="1">
        <w:r w:rsidRPr="00D409B0">
          <w:rPr>
            <w:rStyle w:val="Hyperlink"/>
            <w:shd w:val="clear" w:color="auto" w:fill="FFFFFF"/>
          </w:rPr>
          <w:t>Hybrid Cloud DNS Solutions for Amazon VPC</w:t>
        </w:r>
      </w:hyperlink>
      <w:r w:rsidR="00D409B0">
        <w:rPr>
          <w:color w:val="16191F"/>
          <w:shd w:val="clear" w:color="auto" w:fill="FFFFFF"/>
        </w:rPr>
        <w:t> whitepaper.</w:t>
      </w:r>
    </w:p>
    <w:p w:rsidR="00300240" w:rsidRPr="00D409B0" w:rsidRDefault="00300240" w:rsidP="00300240">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t>Elastic IP addresses (IPv4)</w:t>
      </w:r>
    </w:p>
    <w:tbl>
      <w:tblPr>
        <w:tblW w:w="0" w:type="auto"/>
        <w:tblCellSpacing w:w="15" w:type="dxa"/>
        <w:shd w:val="clear" w:color="auto" w:fill="FFFFFF"/>
        <w:tblCellMar>
          <w:top w:w="15" w:type="dxa"/>
          <w:left w:w="15" w:type="dxa"/>
          <w:bottom w:w="15" w:type="dxa"/>
          <w:right w:w="15" w:type="dxa"/>
        </w:tblCellMar>
        <w:tblLook w:val="04A0"/>
      </w:tblPr>
      <w:tblGrid>
        <w:gridCol w:w="1618"/>
        <w:gridCol w:w="818"/>
        <w:gridCol w:w="7034"/>
      </w:tblGrid>
      <w:tr w:rsidR="00300240" w:rsidRPr="00D409B0" w:rsidTr="00300240">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300240" w:rsidRPr="00D409B0" w:rsidRDefault="00300240" w:rsidP="00300240">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300240" w:rsidRPr="00D409B0" w:rsidRDefault="00300240" w:rsidP="00300240">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300240" w:rsidRPr="00D409B0" w:rsidRDefault="00300240" w:rsidP="00300240">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Elastic IP addresses per Region</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240" w:line="360" w:lineRule="atLeast"/>
              <w:rPr>
                <w:rFonts w:eastAsia="Times New Roman" w:cs="Times New Roman"/>
                <w:color w:val="16191F"/>
                <w:sz w:val="24"/>
                <w:szCs w:val="24"/>
              </w:rPr>
            </w:pPr>
            <w:r w:rsidRPr="00D409B0">
              <w:rPr>
                <w:rFonts w:eastAsia="Times New Roman" w:cs="Times New Roman"/>
                <w:color w:val="16191F"/>
                <w:sz w:val="24"/>
                <w:szCs w:val="24"/>
              </w:rPr>
              <w:t>This is the quota for the number of Elastic IP addresses for use in EC2-VPC. For Elastic IP addresses for use in EC2-Classic, see </w:t>
            </w:r>
            <w:hyperlink r:id="rId6" w:history="1">
              <w:r w:rsidRPr="00D409B0">
                <w:rPr>
                  <w:rFonts w:eastAsia="Times New Roman" w:cs="Times New Roman"/>
                  <w:color w:val="0000FF"/>
                  <w:sz w:val="24"/>
                  <w:szCs w:val="24"/>
                </w:rPr>
                <w:t>Amazon Elastic Compute Cloud Endpoints and Quotas</w:t>
              </w:r>
            </w:hyperlink>
            <w:r w:rsidRPr="00D409B0">
              <w:rPr>
                <w:rFonts w:eastAsia="Times New Roman" w:cs="Times New Roman"/>
                <w:color w:val="16191F"/>
                <w:sz w:val="24"/>
                <w:szCs w:val="24"/>
              </w:rPr>
              <w:t> in the </w:t>
            </w:r>
            <w:r w:rsidRPr="00D409B0">
              <w:rPr>
                <w:rFonts w:eastAsia="Times New Roman" w:cs="Times New Roman"/>
                <w:i/>
                <w:iCs/>
                <w:color w:val="16191F"/>
                <w:sz w:val="24"/>
                <w:szCs w:val="24"/>
              </w:rPr>
              <w:t>Amazon Web Services General Reference</w:t>
            </w:r>
            <w:r w:rsidRPr="00D409B0">
              <w:rPr>
                <w:rFonts w:eastAsia="Times New Roman" w:cs="Times New Roman"/>
                <w:color w:val="16191F"/>
                <w:sz w:val="24"/>
                <w:szCs w:val="24"/>
              </w:rPr>
              <w:t>.</w:t>
            </w:r>
          </w:p>
          <w:p w:rsidR="00300240" w:rsidRPr="00D409B0" w:rsidRDefault="00300240" w:rsidP="00300240">
            <w:pPr>
              <w:spacing w:before="240"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applies to individual AWS account VPCs and shared VPCs.</w:t>
            </w:r>
          </w:p>
        </w:tc>
      </w:tr>
    </w:tbl>
    <w:p w:rsidR="00300240" w:rsidRPr="00D409B0" w:rsidRDefault="00300240" w:rsidP="00300240">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lastRenderedPageBreak/>
        <w:t>Gateways</w:t>
      </w:r>
    </w:p>
    <w:tbl>
      <w:tblPr>
        <w:tblW w:w="0" w:type="auto"/>
        <w:tblCellSpacing w:w="15" w:type="dxa"/>
        <w:shd w:val="clear" w:color="auto" w:fill="FFFFFF"/>
        <w:tblCellMar>
          <w:top w:w="15" w:type="dxa"/>
          <w:left w:w="15" w:type="dxa"/>
          <w:bottom w:w="15" w:type="dxa"/>
          <w:right w:w="15" w:type="dxa"/>
        </w:tblCellMar>
        <w:tblLook w:val="04A0"/>
      </w:tblPr>
      <w:tblGrid>
        <w:gridCol w:w="1956"/>
        <w:gridCol w:w="818"/>
        <w:gridCol w:w="6676"/>
      </w:tblGrid>
      <w:tr w:rsidR="00300240" w:rsidRPr="00D409B0" w:rsidTr="00300240">
        <w:trPr>
          <w:gridAfter w:val="2"/>
          <w:tblCellSpacing w:w="15" w:type="dxa"/>
        </w:trPr>
        <w:tc>
          <w:tcPr>
            <w:tcW w:w="0" w:type="auto"/>
            <w:shd w:val="clear" w:color="auto" w:fill="FFFFFF"/>
            <w:vAlign w:val="center"/>
            <w:hideMark/>
          </w:tcPr>
          <w:p w:rsidR="00300240" w:rsidRPr="00D409B0" w:rsidRDefault="00300240" w:rsidP="00300240">
            <w:pPr>
              <w:spacing w:after="0" w:line="240" w:lineRule="auto"/>
              <w:rPr>
                <w:rFonts w:eastAsia="Times New Roman" w:cs="Times New Roman"/>
                <w:color w:val="16191F"/>
                <w:sz w:val="24"/>
                <w:szCs w:val="24"/>
              </w:rPr>
            </w:pPr>
          </w:p>
        </w:tc>
      </w:tr>
      <w:tr w:rsidR="00300240" w:rsidRPr="00D409B0" w:rsidTr="00300240">
        <w:trP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300240" w:rsidRPr="00D409B0" w:rsidRDefault="00300240" w:rsidP="00300240">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300240" w:rsidRPr="00D409B0" w:rsidRDefault="00300240" w:rsidP="00300240">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300240" w:rsidRPr="00D409B0" w:rsidRDefault="00300240" w:rsidP="00300240">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Customer gateways per Region</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For more information, see </w:t>
            </w:r>
            <w:hyperlink r:id="rId7" w:history="1">
              <w:r w:rsidRPr="00D409B0">
                <w:rPr>
                  <w:rFonts w:eastAsia="Times New Roman" w:cs="Times New Roman"/>
                  <w:color w:val="0000FF"/>
                  <w:sz w:val="24"/>
                  <w:szCs w:val="24"/>
                </w:rPr>
                <w:t>Site-to-Site VPN Quotas</w:t>
              </w:r>
            </w:hyperlink>
            <w:r w:rsidRPr="00D409B0">
              <w:rPr>
                <w:rFonts w:eastAsia="Times New Roman" w:cs="Times New Roman"/>
                <w:color w:val="16191F"/>
                <w:sz w:val="24"/>
                <w:szCs w:val="24"/>
              </w:rPr>
              <w:t> in the </w:t>
            </w:r>
            <w:r w:rsidRPr="00D409B0">
              <w:rPr>
                <w:rFonts w:eastAsia="Times New Roman" w:cs="Times New Roman"/>
                <w:i/>
                <w:iCs/>
                <w:color w:val="16191F"/>
                <w:sz w:val="24"/>
                <w:szCs w:val="24"/>
              </w:rPr>
              <w:t>AWS Site-to-Site VPN User Guide</w:t>
            </w:r>
            <w:r w:rsidRPr="00D409B0">
              <w:rPr>
                <w:rFonts w:eastAsia="Times New Roman" w:cs="Times New Roman"/>
                <w:color w:val="16191F"/>
                <w:sz w:val="24"/>
                <w:szCs w:val="24"/>
              </w:rPr>
              <w:t>.</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Egress-only internet gateways per Region</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is directly correlated with the quota on VPCs per Region. To increase this quota, increase the quota on VPCs per Region. You can attach only one egress-only internet gateway to a VPC at a time.</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Internet gateways per Region</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is directly correlated with the quota on VPCs per Region. To increase this quota, increase the quota on VPCs per Region. Only one internet gateway can be attached to a VPC at a time.</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NAT gateways per Availability Zone</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A NAT gateway in the </w:t>
            </w:r>
            <w:r w:rsidRPr="00D409B0">
              <w:rPr>
                <w:rFonts w:eastAsia="Times New Roman" w:cs="Consolas"/>
                <w:color w:val="16191F"/>
                <w:sz w:val="20"/>
                <w:szCs w:val="20"/>
              </w:rPr>
              <w:t>pending</w:t>
            </w:r>
            <w:r w:rsidRPr="00D409B0">
              <w:rPr>
                <w:rFonts w:eastAsia="Times New Roman" w:cs="Times New Roman"/>
                <w:color w:val="16191F"/>
                <w:sz w:val="24"/>
                <w:szCs w:val="24"/>
              </w:rPr>
              <w:t>, </w:t>
            </w:r>
            <w:proofErr w:type="gramStart"/>
            <w:r w:rsidRPr="00D409B0">
              <w:rPr>
                <w:rFonts w:eastAsia="Times New Roman" w:cs="Consolas"/>
                <w:color w:val="16191F"/>
                <w:sz w:val="20"/>
                <w:szCs w:val="20"/>
              </w:rPr>
              <w:t>active</w:t>
            </w:r>
            <w:r w:rsidRPr="00D409B0">
              <w:rPr>
                <w:rFonts w:eastAsia="Times New Roman" w:cs="Times New Roman"/>
                <w:color w:val="16191F"/>
                <w:sz w:val="24"/>
                <w:szCs w:val="24"/>
              </w:rPr>
              <w:t>,</w:t>
            </w:r>
            <w:proofErr w:type="gramEnd"/>
            <w:r w:rsidRPr="00D409B0">
              <w:rPr>
                <w:rFonts w:eastAsia="Times New Roman" w:cs="Times New Roman"/>
                <w:color w:val="16191F"/>
                <w:sz w:val="24"/>
                <w:szCs w:val="24"/>
              </w:rPr>
              <w:t xml:space="preserve"> or </w:t>
            </w:r>
            <w:r w:rsidRPr="00D409B0">
              <w:rPr>
                <w:rFonts w:eastAsia="Times New Roman" w:cs="Consolas"/>
                <w:color w:val="16191F"/>
                <w:sz w:val="20"/>
                <w:szCs w:val="20"/>
              </w:rPr>
              <w:t>deleting</w:t>
            </w:r>
            <w:r w:rsidRPr="00D409B0">
              <w:rPr>
                <w:rFonts w:eastAsia="Times New Roman" w:cs="Times New Roman"/>
                <w:color w:val="16191F"/>
                <w:sz w:val="24"/>
                <w:szCs w:val="24"/>
              </w:rPr>
              <w:t> state counts against your quota.</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Virtual private gateways per Region</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For more information, see </w:t>
            </w:r>
            <w:hyperlink r:id="rId8" w:history="1">
              <w:r w:rsidRPr="00D409B0">
                <w:rPr>
                  <w:rFonts w:eastAsia="Times New Roman" w:cs="Times New Roman"/>
                  <w:color w:val="0000FF"/>
                  <w:sz w:val="24"/>
                  <w:szCs w:val="24"/>
                </w:rPr>
                <w:t>Site-to-Site VPN Quotas</w:t>
              </w:r>
            </w:hyperlink>
            <w:r w:rsidRPr="00D409B0">
              <w:rPr>
                <w:rFonts w:eastAsia="Times New Roman" w:cs="Times New Roman"/>
                <w:color w:val="16191F"/>
                <w:sz w:val="24"/>
                <w:szCs w:val="24"/>
              </w:rPr>
              <w:t> in the </w:t>
            </w:r>
            <w:r w:rsidRPr="00D409B0">
              <w:rPr>
                <w:rFonts w:eastAsia="Times New Roman" w:cs="Times New Roman"/>
                <w:i/>
                <w:iCs/>
                <w:color w:val="16191F"/>
                <w:sz w:val="24"/>
                <w:szCs w:val="24"/>
              </w:rPr>
              <w:t>AWS Site-to-Site VPN User Guide</w:t>
            </w:r>
            <w:r w:rsidRPr="00D409B0">
              <w:rPr>
                <w:rFonts w:eastAsia="Times New Roman" w:cs="Times New Roman"/>
                <w:color w:val="16191F"/>
                <w:sz w:val="24"/>
                <w:szCs w:val="24"/>
              </w:rPr>
              <w:t>.</w:t>
            </w:r>
          </w:p>
        </w:tc>
      </w:tr>
      <w:tr w:rsidR="00300240" w:rsidRPr="00D409B0" w:rsidTr="00300240">
        <w:trPr>
          <w:tblCellSpacing w:w="15" w:type="dxa"/>
        </w:trPr>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Carrier gateways per VPC</w:t>
            </w:r>
          </w:p>
        </w:tc>
        <w:tc>
          <w:tcPr>
            <w:tcW w:w="0" w:type="auto"/>
            <w:tcBorders>
              <w:top w:val="nil"/>
              <w:left w:val="nil"/>
              <w:bottom w:val="single" w:sz="6" w:space="0" w:color="D5DBDB"/>
              <w:right w:val="single" w:sz="6" w:space="0" w:color="D5DBDB"/>
            </w:tcBorders>
            <w:shd w:val="clear" w:color="auto" w:fill="FFFFFF"/>
            <w:hideMark/>
          </w:tcPr>
          <w:p w:rsidR="00300240" w:rsidRPr="00D409B0" w:rsidRDefault="00300240" w:rsidP="00300240">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1</w:t>
            </w:r>
          </w:p>
        </w:tc>
        <w:tc>
          <w:tcPr>
            <w:tcW w:w="0" w:type="auto"/>
            <w:shd w:val="clear" w:color="auto" w:fill="FFFFFF"/>
            <w:vAlign w:val="center"/>
            <w:hideMark/>
          </w:tcPr>
          <w:p w:rsidR="00300240" w:rsidRPr="00D409B0" w:rsidRDefault="00300240" w:rsidP="00300240">
            <w:pPr>
              <w:spacing w:after="0" w:line="240" w:lineRule="auto"/>
              <w:rPr>
                <w:rFonts w:eastAsia="Times New Roman" w:cs="Times New Roman"/>
                <w:sz w:val="20"/>
                <w:szCs w:val="20"/>
              </w:rPr>
            </w:pPr>
          </w:p>
        </w:tc>
      </w:tr>
    </w:tbl>
    <w:p w:rsidR="00A5518E" w:rsidRPr="00D409B0" w:rsidRDefault="00A5518E" w:rsidP="00A5518E">
      <w:pPr>
        <w:pStyle w:val="Heading2"/>
        <w:pBdr>
          <w:top w:val="single" w:sz="6" w:space="12" w:color="D5DBDB"/>
        </w:pBdr>
        <w:shd w:val="clear" w:color="auto" w:fill="FFFFFF"/>
        <w:spacing w:before="240" w:beforeAutospacing="0" w:after="180" w:afterAutospacing="0"/>
        <w:rPr>
          <w:rFonts w:asciiTheme="minorHAnsi" w:hAnsiTheme="minorHAnsi"/>
          <w:b w:val="0"/>
          <w:bCs w:val="0"/>
          <w:color w:val="16191F"/>
          <w:sz w:val="39"/>
          <w:szCs w:val="39"/>
        </w:rPr>
      </w:pPr>
      <w:r w:rsidRPr="00D409B0">
        <w:rPr>
          <w:rFonts w:asciiTheme="minorHAnsi" w:hAnsiTheme="minorHAnsi"/>
          <w:b w:val="0"/>
          <w:bCs w:val="0"/>
          <w:color w:val="16191F"/>
          <w:sz w:val="39"/>
          <w:szCs w:val="39"/>
        </w:rPr>
        <w:t>Customer-managed prefix lists</w:t>
      </w:r>
    </w:p>
    <w:tbl>
      <w:tblPr>
        <w:tblW w:w="0" w:type="auto"/>
        <w:tblCellSpacing w:w="15" w:type="dxa"/>
        <w:shd w:val="clear" w:color="auto" w:fill="FFFFFF"/>
        <w:tblCellMar>
          <w:top w:w="15" w:type="dxa"/>
          <w:left w:w="15" w:type="dxa"/>
          <w:bottom w:w="15" w:type="dxa"/>
          <w:right w:w="15" w:type="dxa"/>
        </w:tblCellMar>
        <w:tblLook w:val="04A0"/>
      </w:tblPr>
      <w:tblGrid>
        <w:gridCol w:w="1769"/>
        <w:gridCol w:w="818"/>
        <w:gridCol w:w="6883"/>
      </w:tblGrid>
      <w:tr w:rsidR="00A5518E" w:rsidRPr="00D409B0" w:rsidTr="00A5518E">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A5518E" w:rsidRPr="00D409B0" w:rsidRDefault="00A5518E" w:rsidP="00A5518E">
            <w:pPr>
              <w:spacing w:after="0" w:line="240" w:lineRule="auto"/>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A5518E" w:rsidRPr="00D409B0" w:rsidRDefault="00A5518E" w:rsidP="00A5518E">
            <w:pPr>
              <w:spacing w:after="0" w:line="240" w:lineRule="auto"/>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A5518E" w:rsidRPr="00D409B0" w:rsidRDefault="00A5518E" w:rsidP="00A5518E">
            <w:pPr>
              <w:spacing w:after="0" w:line="240" w:lineRule="auto"/>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A5518E" w:rsidRPr="00D409B0" w:rsidTr="00A5518E">
        <w:trPr>
          <w:tblCellSpacing w:w="15" w:type="dxa"/>
        </w:trPr>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Prefix lists per Region</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100</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w:t>
            </w:r>
          </w:p>
        </w:tc>
      </w:tr>
      <w:tr w:rsidR="00A5518E" w:rsidRPr="00D409B0" w:rsidTr="00A5518E">
        <w:trPr>
          <w:tblCellSpacing w:w="15" w:type="dxa"/>
        </w:trPr>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Versions per prefix list</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1,000</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In the scenario where a prefix list has 1,000 stored versions and you add a new version, the oldest version is removed to allow the new version to be added and remain within the quota.</w:t>
            </w:r>
          </w:p>
        </w:tc>
      </w:tr>
      <w:tr w:rsidR="00A5518E" w:rsidRPr="00D409B0" w:rsidTr="00A5518E">
        <w:trPr>
          <w:tblCellSpacing w:w="15" w:type="dxa"/>
        </w:trPr>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Maximum number of entries per prefix list</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1,000</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p>
        </w:tc>
      </w:tr>
      <w:tr w:rsidR="00A5518E" w:rsidRPr="00D409B0" w:rsidTr="00A5518E">
        <w:trPr>
          <w:tblCellSpacing w:w="15" w:type="dxa"/>
        </w:trPr>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 xml:space="preserve">References to a </w:t>
            </w:r>
            <w:r w:rsidRPr="00D409B0">
              <w:rPr>
                <w:rFonts w:eastAsia="Times New Roman" w:cs="Times New Roman"/>
                <w:color w:val="16191F"/>
                <w:sz w:val="24"/>
                <w:szCs w:val="24"/>
              </w:rPr>
              <w:lastRenderedPageBreak/>
              <w:t>prefix list per resource type</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lastRenderedPageBreak/>
              <w:t>5,000</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 xml:space="preserve">This quota applies per resource type that can reference a prefix list. </w:t>
            </w:r>
            <w:r w:rsidRPr="00D409B0">
              <w:rPr>
                <w:rFonts w:eastAsia="Times New Roman" w:cs="Times New Roman"/>
                <w:color w:val="16191F"/>
                <w:sz w:val="24"/>
                <w:szCs w:val="24"/>
              </w:rPr>
              <w:lastRenderedPageBreak/>
              <w:t>For example, you can have 5,000 references to a prefix list across all of your security groups plus 5,000 references to a prefix list across all of your subnet route tables. If you share a prefix list with other AWS accounts, the other accounts' references to your prefix list count toward this quota.</w:t>
            </w:r>
          </w:p>
        </w:tc>
      </w:tr>
    </w:tbl>
    <w:p w:rsidR="00A5518E" w:rsidRPr="00D409B0" w:rsidRDefault="00A5518E" w:rsidP="00A5518E">
      <w:pPr>
        <w:pStyle w:val="Heading2"/>
        <w:pBdr>
          <w:top w:val="single" w:sz="6" w:space="12" w:color="D5DBDB"/>
        </w:pBdr>
        <w:shd w:val="clear" w:color="auto" w:fill="FFFFFF"/>
        <w:spacing w:before="240" w:beforeAutospacing="0" w:after="180" w:afterAutospacing="0"/>
        <w:rPr>
          <w:rFonts w:asciiTheme="minorHAnsi" w:hAnsiTheme="minorHAnsi"/>
          <w:b w:val="0"/>
          <w:bCs w:val="0"/>
          <w:color w:val="16191F"/>
          <w:sz w:val="39"/>
          <w:szCs w:val="39"/>
        </w:rPr>
      </w:pPr>
      <w:r w:rsidRPr="00D409B0">
        <w:rPr>
          <w:rFonts w:asciiTheme="minorHAnsi" w:hAnsiTheme="minorHAnsi"/>
          <w:b w:val="0"/>
          <w:bCs w:val="0"/>
          <w:color w:val="16191F"/>
          <w:sz w:val="39"/>
          <w:szCs w:val="39"/>
        </w:rPr>
        <w:lastRenderedPageBreak/>
        <w:t>Network ACLs</w:t>
      </w:r>
    </w:p>
    <w:tbl>
      <w:tblPr>
        <w:tblW w:w="0" w:type="auto"/>
        <w:tblCellSpacing w:w="15" w:type="dxa"/>
        <w:shd w:val="clear" w:color="auto" w:fill="FFFFFF"/>
        <w:tblCellMar>
          <w:top w:w="15" w:type="dxa"/>
          <w:left w:w="15" w:type="dxa"/>
          <w:bottom w:w="15" w:type="dxa"/>
          <w:right w:w="15" w:type="dxa"/>
        </w:tblCellMar>
        <w:tblLook w:val="04A0"/>
      </w:tblPr>
      <w:tblGrid>
        <w:gridCol w:w="1266"/>
        <w:gridCol w:w="818"/>
        <w:gridCol w:w="7386"/>
      </w:tblGrid>
      <w:tr w:rsidR="00A5518E" w:rsidRPr="00D409B0" w:rsidTr="00A5518E">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A5518E" w:rsidRPr="00D409B0" w:rsidRDefault="00A5518E" w:rsidP="00A5518E">
            <w:pPr>
              <w:spacing w:after="0" w:line="240" w:lineRule="auto"/>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A5518E" w:rsidRPr="00D409B0" w:rsidRDefault="00A5518E" w:rsidP="00A5518E">
            <w:pPr>
              <w:spacing w:after="0" w:line="240" w:lineRule="auto"/>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A5518E" w:rsidRPr="00D409B0" w:rsidRDefault="00A5518E" w:rsidP="00A5518E">
            <w:pPr>
              <w:spacing w:after="0" w:line="240" w:lineRule="auto"/>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A5518E" w:rsidRPr="00D409B0" w:rsidTr="00A5518E">
        <w:trPr>
          <w:tblCellSpacing w:w="15" w:type="dxa"/>
        </w:trPr>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Network ACLs per VPC</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200</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You can associate one network ACL to one or more subnets in a VPC. This quota is not the same as the number of rules per network ACL.</w:t>
            </w:r>
          </w:p>
        </w:tc>
      </w:tr>
      <w:tr w:rsidR="00A5518E" w:rsidRPr="00D409B0" w:rsidTr="00A5518E">
        <w:trPr>
          <w:tblCellSpacing w:w="15" w:type="dxa"/>
        </w:trPr>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Rules per network ACL</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0" w:line="240" w:lineRule="auto"/>
              <w:rPr>
                <w:rFonts w:eastAsia="Times New Roman" w:cs="Times New Roman"/>
                <w:color w:val="16191F"/>
                <w:sz w:val="24"/>
                <w:szCs w:val="24"/>
              </w:rPr>
            </w:pPr>
            <w:r w:rsidRPr="00D409B0">
              <w:rPr>
                <w:rFonts w:eastAsia="Times New Roman" w:cs="Times New Roman"/>
                <w:color w:val="16191F"/>
                <w:sz w:val="24"/>
                <w:szCs w:val="24"/>
              </w:rPr>
              <w:t>20</w:t>
            </w:r>
          </w:p>
        </w:tc>
        <w:tc>
          <w:tcPr>
            <w:tcW w:w="0" w:type="auto"/>
            <w:tcBorders>
              <w:top w:val="nil"/>
              <w:left w:val="nil"/>
              <w:bottom w:val="single" w:sz="6" w:space="0" w:color="D5DBDB"/>
              <w:right w:val="single" w:sz="6" w:space="0" w:color="D5DBDB"/>
            </w:tcBorders>
            <w:shd w:val="clear" w:color="auto" w:fill="FFFFFF"/>
            <w:hideMark/>
          </w:tcPr>
          <w:p w:rsidR="00A5518E" w:rsidRPr="00D409B0" w:rsidRDefault="00A5518E" w:rsidP="00A5518E">
            <w:pPr>
              <w:spacing w:after="240" w:line="240" w:lineRule="auto"/>
              <w:rPr>
                <w:rFonts w:eastAsia="Times New Roman" w:cs="Times New Roman"/>
                <w:color w:val="16191F"/>
                <w:sz w:val="24"/>
                <w:szCs w:val="24"/>
              </w:rPr>
            </w:pPr>
            <w:r w:rsidRPr="00D409B0">
              <w:rPr>
                <w:rFonts w:eastAsia="Times New Roman" w:cs="Times New Roman"/>
                <w:color w:val="16191F"/>
                <w:sz w:val="24"/>
                <w:szCs w:val="24"/>
              </w:rPr>
              <w:t>This is the one-way quota for a single network ACL. This quota is enforced separately for IPv4 rules and IPv6 rules; for example, you can have 20 ingress rules for IPv4 traffic and 20 ingress rules for IPv6 traffic. This quota includes the default deny rules (rule number 32767 for IPv4 and 32768 for IPv6, or an asterisk * in the Amazon VPC console).</w:t>
            </w:r>
          </w:p>
          <w:p w:rsidR="00A5518E" w:rsidRPr="00D409B0" w:rsidRDefault="00A5518E" w:rsidP="00A5518E">
            <w:pPr>
              <w:spacing w:before="240" w:after="0" w:line="240" w:lineRule="auto"/>
              <w:rPr>
                <w:rFonts w:eastAsia="Times New Roman" w:cs="Times New Roman"/>
                <w:color w:val="16191F"/>
                <w:sz w:val="24"/>
                <w:szCs w:val="24"/>
              </w:rPr>
            </w:pPr>
            <w:r w:rsidRPr="00D409B0">
              <w:rPr>
                <w:rFonts w:eastAsia="Times New Roman" w:cs="Times New Roman"/>
                <w:color w:val="16191F"/>
                <w:sz w:val="24"/>
                <w:szCs w:val="24"/>
              </w:rPr>
              <w:t>This quota can be increased up to a maximum of 40; however, network performance might be impacted due to the increased workload to process the additional rules.</w:t>
            </w:r>
          </w:p>
        </w:tc>
      </w:tr>
    </w:tbl>
    <w:p w:rsidR="00300240" w:rsidRPr="00D409B0" w:rsidRDefault="00300240" w:rsidP="00A5518E">
      <w:pPr>
        <w:spacing w:line="240" w:lineRule="auto"/>
      </w:pPr>
    </w:p>
    <w:p w:rsidR="00A5518E" w:rsidRPr="00D409B0" w:rsidRDefault="00A5518E" w:rsidP="00A5518E">
      <w:pPr>
        <w:spacing w:line="240" w:lineRule="auto"/>
      </w:pPr>
    </w:p>
    <w:p w:rsidR="001A07E8" w:rsidRPr="00D409B0" w:rsidRDefault="001A07E8" w:rsidP="001A07E8">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t>Network interfaces</w:t>
      </w:r>
    </w:p>
    <w:tbl>
      <w:tblPr>
        <w:tblW w:w="0" w:type="auto"/>
        <w:tblCellSpacing w:w="15" w:type="dxa"/>
        <w:shd w:val="clear" w:color="auto" w:fill="FFFFFF"/>
        <w:tblCellMar>
          <w:top w:w="15" w:type="dxa"/>
          <w:left w:w="15" w:type="dxa"/>
          <w:bottom w:w="15" w:type="dxa"/>
          <w:right w:w="15" w:type="dxa"/>
        </w:tblCellMar>
        <w:tblLook w:val="04A0"/>
      </w:tblPr>
      <w:tblGrid>
        <w:gridCol w:w="2311"/>
        <w:gridCol w:w="818"/>
        <w:gridCol w:w="6341"/>
      </w:tblGrid>
      <w:tr w:rsidR="001A07E8" w:rsidRPr="00D409B0" w:rsidTr="001A07E8">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1A07E8" w:rsidRPr="00D409B0" w:rsidRDefault="001A07E8" w:rsidP="001A07E8">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1A07E8" w:rsidRPr="00D409B0" w:rsidRDefault="001A07E8" w:rsidP="001A07E8">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1A07E8" w:rsidRPr="00D409B0" w:rsidRDefault="001A07E8" w:rsidP="001A07E8">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1A07E8" w:rsidRPr="00D409B0" w:rsidTr="001A07E8">
        <w:trPr>
          <w:tblCellSpacing w:w="15" w:type="dxa"/>
        </w:trPr>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Network interfaces per instance</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varies by instance type. For more information, see </w:t>
            </w:r>
            <w:hyperlink r:id="rId9" w:anchor="AvailableIpPerENI" w:history="1">
              <w:r w:rsidRPr="00D409B0">
                <w:rPr>
                  <w:rFonts w:eastAsia="Times New Roman" w:cs="Times New Roman"/>
                  <w:color w:val="0000FF"/>
                  <w:sz w:val="24"/>
                  <w:szCs w:val="24"/>
                </w:rPr>
                <w:t>IP Addresses Per ENI Per Instance Type</w:t>
              </w:r>
            </w:hyperlink>
            <w:r w:rsidRPr="00D409B0">
              <w:rPr>
                <w:rFonts w:eastAsia="Times New Roman" w:cs="Times New Roman"/>
                <w:color w:val="16191F"/>
                <w:sz w:val="24"/>
                <w:szCs w:val="24"/>
              </w:rPr>
              <w:t>.</w:t>
            </w:r>
          </w:p>
        </w:tc>
      </w:tr>
      <w:tr w:rsidR="001A07E8" w:rsidRPr="00D409B0" w:rsidTr="001A07E8">
        <w:trPr>
          <w:tblCellSpacing w:w="15" w:type="dxa"/>
        </w:trPr>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Network interfaces per Region</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5000</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applies to individual AWS account VPCs and shared VPCs.</w:t>
            </w:r>
          </w:p>
        </w:tc>
      </w:tr>
    </w:tbl>
    <w:p w:rsidR="001A07E8" w:rsidRPr="00D409B0" w:rsidRDefault="001A07E8" w:rsidP="001A07E8">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p>
    <w:p w:rsidR="001A07E8" w:rsidRPr="00D409B0" w:rsidRDefault="001A07E8" w:rsidP="001A07E8">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p>
    <w:p w:rsidR="001A07E8" w:rsidRPr="00D409B0" w:rsidRDefault="001A07E8" w:rsidP="001A07E8">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t>Route tables</w:t>
      </w:r>
    </w:p>
    <w:tbl>
      <w:tblPr>
        <w:tblW w:w="0" w:type="auto"/>
        <w:tblCellSpacing w:w="15" w:type="dxa"/>
        <w:shd w:val="clear" w:color="auto" w:fill="FFFFFF"/>
        <w:tblCellMar>
          <w:top w:w="15" w:type="dxa"/>
          <w:left w:w="15" w:type="dxa"/>
          <w:bottom w:w="15" w:type="dxa"/>
          <w:right w:w="15" w:type="dxa"/>
        </w:tblCellMar>
        <w:tblLook w:val="04A0"/>
      </w:tblPr>
      <w:tblGrid>
        <w:gridCol w:w="2629"/>
        <w:gridCol w:w="818"/>
        <w:gridCol w:w="6023"/>
      </w:tblGrid>
      <w:tr w:rsidR="001A07E8" w:rsidRPr="00D409B0" w:rsidTr="001A07E8">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1A07E8" w:rsidRPr="00D409B0" w:rsidRDefault="001A07E8" w:rsidP="001A07E8">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1A07E8" w:rsidRPr="00D409B0" w:rsidRDefault="001A07E8" w:rsidP="001A07E8">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1A07E8" w:rsidRPr="00D409B0" w:rsidRDefault="001A07E8" w:rsidP="001A07E8">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1A07E8" w:rsidRPr="00D409B0" w:rsidTr="001A07E8">
        <w:trPr>
          <w:tblCellSpacing w:w="15" w:type="dxa"/>
        </w:trPr>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Route tables per VPC</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200</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The main route table counts toward this quota.</w:t>
            </w:r>
          </w:p>
        </w:tc>
      </w:tr>
      <w:tr w:rsidR="001A07E8" w:rsidRPr="00D409B0" w:rsidTr="001A07E8">
        <w:trPr>
          <w:tblCellSpacing w:w="15" w:type="dxa"/>
        </w:trPr>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Routes per route table (non-propagated routes)</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50</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240" w:line="360" w:lineRule="atLeast"/>
              <w:rPr>
                <w:rFonts w:eastAsia="Times New Roman" w:cs="Times New Roman"/>
                <w:color w:val="16191F"/>
                <w:sz w:val="24"/>
                <w:szCs w:val="24"/>
              </w:rPr>
            </w:pPr>
            <w:r w:rsidRPr="00D409B0">
              <w:rPr>
                <w:rFonts w:eastAsia="Times New Roman" w:cs="Times New Roman"/>
                <w:color w:val="16191F"/>
                <w:sz w:val="24"/>
                <w:szCs w:val="24"/>
              </w:rPr>
              <w:t>You can increase this quota up to a maximum of 1,000; however, network performance might be impacted. This quota is enforced separately for IPv4 routes and IPv6 routes.</w:t>
            </w:r>
          </w:p>
          <w:p w:rsidR="001A07E8" w:rsidRPr="00D409B0" w:rsidRDefault="001A07E8" w:rsidP="001A07E8">
            <w:pPr>
              <w:spacing w:before="240" w:after="240" w:line="360" w:lineRule="atLeast"/>
              <w:rPr>
                <w:rFonts w:eastAsia="Times New Roman" w:cs="Times New Roman"/>
                <w:color w:val="16191F"/>
                <w:sz w:val="24"/>
                <w:szCs w:val="24"/>
              </w:rPr>
            </w:pPr>
            <w:r w:rsidRPr="00D409B0">
              <w:rPr>
                <w:rFonts w:eastAsia="Times New Roman" w:cs="Times New Roman"/>
                <w:color w:val="16191F"/>
                <w:sz w:val="24"/>
                <w:szCs w:val="24"/>
              </w:rPr>
              <w:t>If you have more than 125 routes, we recommend that you paginate calls to describe your route tables for better performance.</w:t>
            </w:r>
          </w:p>
          <w:p w:rsidR="001A07E8" w:rsidRPr="00D409B0" w:rsidRDefault="001A07E8" w:rsidP="001A07E8">
            <w:pPr>
              <w:spacing w:before="240" w:after="0" w:line="360" w:lineRule="atLeast"/>
              <w:rPr>
                <w:rFonts w:eastAsia="Times New Roman" w:cs="Times New Roman"/>
                <w:color w:val="16191F"/>
                <w:sz w:val="24"/>
                <w:szCs w:val="24"/>
              </w:rPr>
            </w:pPr>
            <w:r w:rsidRPr="00D409B0">
              <w:rPr>
                <w:rFonts w:eastAsia="Times New Roman" w:cs="Times New Roman"/>
                <w:color w:val="16191F"/>
                <w:sz w:val="24"/>
                <w:szCs w:val="24"/>
              </w:rPr>
              <w:t>If you reference a customer-managed prefix list in a route, the maximum number of entries for the prefix lists equals the same number of routes.</w:t>
            </w:r>
          </w:p>
        </w:tc>
      </w:tr>
      <w:tr w:rsidR="001A07E8" w:rsidRPr="00D409B0" w:rsidTr="001A07E8">
        <w:trPr>
          <w:tblCellSpacing w:w="15" w:type="dxa"/>
        </w:trPr>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BGP advertised routes per route table (propagated routes)</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100</w:t>
            </w:r>
          </w:p>
        </w:tc>
        <w:tc>
          <w:tcPr>
            <w:tcW w:w="0" w:type="auto"/>
            <w:tcBorders>
              <w:top w:val="nil"/>
              <w:left w:val="nil"/>
              <w:bottom w:val="single" w:sz="6" w:space="0" w:color="D5DBDB"/>
              <w:right w:val="single" w:sz="6" w:space="0" w:color="D5DBDB"/>
            </w:tcBorders>
            <w:shd w:val="clear" w:color="auto" w:fill="FFFFFF"/>
            <w:hideMark/>
          </w:tcPr>
          <w:p w:rsidR="001A07E8" w:rsidRPr="00D409B0" w:rsidRDefault="001A07E8" w:rsidP="001A07E8">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cannot be increased. If you require more than 100 prefixes, advertise a default route.</w:t>
            </w:r>
          </w:p>
        </w:tc>
      </w:tr>
    </w:tbl>
    <w:p w:rsidR="006964D5" w:rsidRPr="00D409B0" w:rsidRDefault="006964D5" w:rsidP="006964D5">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t>Security groups</w:t>
      </w:r>
    </w:p>
    <w:p w:rsidR="006964D5" w:rsidRPr="00D409B0" w:rsidRDefault="006964D5" w:rsidP="006964D5">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p>
    <w:tbl>
      <w:tblPr>
        <w:tblW w:w="0" w:type="auto"/>
        <w:tblCellSpacing w:w="15" w:type="dxa"/>
        <w:shd w:val="clear" w:color="auto" w:fill="FFFFFF"/>
        <w:tblCellMar>
          <w:top w:w="15" w:type="dxa"/>
          <w:left w:w="15" w:type="dxa"/>
          <w:bottom w:w="15" w:type="dxa"/>
          <w:right w:w="15" w:type="dxa"/>
        </w:tblCellMar>
        <w:tblLook w:val="04A0"/>
      </w:tblPr>
      <w:tblGrid>
        <w:gridCol w:w="1695"/>
        <w:gridCol w:w="818"/>
        <w:gridCol w:w="6957"/>
      </w:tblGrid>
      <w:tr w:rsidR="006964D5" w:rsidRPr="00D409B0" w:rsidTr="006964D5">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6964D5" w:rsidRPr="00D409B0" w:rsidRDefault="006964D5" w:rsidP="006964D5">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6964D5" w:rsidRPr="00D409B0" w:rsidRDefault="006964D5" w:rsidP="006964D5">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6964D5" w:rsidRPr="00D409B0" w:rsidRDefault="006964D5" w:rsidP="006964D5">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6964D5" w:rsidRPr="00D409B0" w:rsidTr="006964D5">
        <w:trPr>
          <w:tblCellSpacing w:w="15" w:type="dxa"/>
        </w:trPr>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VPC security groups per Region</w:t>
            </w:r>
          </w:p>
        </w:tc>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2500</w:t>
            </w:r>
          </w:p>
        </w:tc>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240" w:line="360" w:lineRule="atLeast"/>
              <w:rPr>
                <w:rFonts w:eastAsia="Times New Roman" w:cs="Times New Roman"/>
                <w:color w:val="16191F"/>
                <w:sz w:val="24"/>
                <w:szCs w:val="24"/>
              </w:rPr>
            </w:pPr>
            <w:r w:rsidRPr="00D409B0">
              <w:rPr>
                <w:rFonts w:eastAsia="Times New Roman" w:cs="Times New Roman"/>
                <w:color w:val="16191F"/>
                <w:sz w:val="24"/>
                <w:szCs w:val="24"/>
              </w:rPr>
              <w:t>This quota applies to individual AWS account VPCs and shared VPCs.</w:t>
            </w:r>
          </w:p>
          <w:p w:rsidR="006964D5" w:rsidRPr="00D409B0" w:rsidRDefault="006964D5" w:rsidP="006964D5">
            <w:pPr>
              <w:spacing w:before="240" w:after="0" w:line="360" w:lineRule="atLeast"/>
              <w:rPr>
                <w:rFonts w:eastAsia="Times New Roman" w:cs="Times New Roman"/>
                <w:color w:val="16191F"/>
                <w:sz w:val="24"/>
                <w:szCs w:val="24"/>
              </w:rPr>
            </w:pPr>
            <w:r w:rsidRPr="00D409B0">
              <w:rPr>
                <w:rFonts w:eastAsia="Times New Roman" w:cs="Times New Roman"/>
                <w:color w:val="16191F"/>
                <w:sz w:val="24"/>
                <w:szCs w:val="24"/>
              </w:rPr>
              <w:t>If you increase this quota to more than 5000 security groups in a Region, we recommend that you paginate calls to describe your security groups for better performance.</w:t>
            </w:r>
          </w:p>
        </w:tc>
      </w:tr>
      <w:tr w:rsidR="006964D5" w:rsidRPr="00D409B0" w:rsidTr="006964D5">
        <w:trPr>
          <w:tblCellSpacing w:w="15" w:type="dxa"/>
        </w:trPr>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 xml:space="preserve">Inbound or outbound rules </w:t>
            </w:r>
            <w:r w:rsidRPr="00D409B0">
              <w:rPr>
                <w:rFonts w:eastAsia="Times New Roman" w:cs="Times New Roman"/>
                <w:color w:val="16191F"/>
                <w:sz w:val="24"/>
                <w:szCs w:val="24"/>
              </w:rPr>
              <w:lastRenderedPageBreak/>
              <w:t>per security group</w:t>
            </w:r>
          </w:p>
        </w:tc>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lastRenderedPageBreak/>
              <w:t>60</w:t>
            </w:r>
          </w:p>
        </w:tc>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240" w:line="360" w:lineRule="atLeast"/>
              <w:rPr>
                <w:rFonts w:eastAsia="Times New Roman" w:cs="Times New Roman"/>
                <w:color w:val="16191F"/>
                <w:sz w:val="24"/>
                <w:szCs w:val="24"/>
              </w:rPr>
            </w:pPr>
            <w:r w:rsidRPr="00D409B0">
              <w:rPr>
                <w:rFonts w:eastAsia="Times New Roman" w:cs="Times New Roman"/>
                <w:color w:val="16191F"/>
                <w:sz w:val="24"/>
                <w:szCs w:val="24"/>
              </w:rPr>
              <w:t xml:space="preserve">You can have 60 inbound and 60 outbound rules per security group (making a total of 120 rules). This quota is enforced separately for </w:t>
            </w:r>
            <w:r w:rsidRPr="00D409B0">
              <w:rPr>
                <w:rFonts w:eastAsia="Times New Roman" w:cs="Times New Roman"/>
                <w:color w:val="16191F"/>
                <w:sz w:val="24"/>
                <w:szCs w:val="24"/>
              </w:rPr>
              <w:lastRenderedPageBreak/>
              <w:t>IPv4 rules and IPv6 rules; for example, a security group can have 60 inbound rules for IPv4 traffic and 60 inbound rules for IPv6 traffic. A rule that references a security group or AWS-managed prefix list ID counts as one rule for IPv4 and one rule for IPv6.</w:t>
            </w:r>
          </w:p>
          <w:p w:rsidR="006964D5" w:rsidRPr="00D409B0" w:rsidRDefault="006964D5" w:rsidP="006964D5">
            <w:pPr>
              <w:spacing w:before="240" w:after="240" w:line="360" w:lineRule="atLeast"/>
              <w:rPr>
                <w:rFonts w:eastAsia="Times New Roman" w:cs="Times New Roman"/>
                <w:color w:val="16191F"/>
                <w:sz w:val="24"/>
                <w:szCs w:val="24"/>
              </w:rPr>
            </w:pPr>
            <w:r w:rsidRPr="00D409B0">
              <w:rPr>
                <w:rFonts w:eastAsia="Times New Roman" w:cs="Times New Roman"/>
                <w:color w:val="16191F"/>
                <w:sz w:val="24"/>
                <w:szCs w:val="24"/>
              </w:rPr>
              <w:t>A quota change applies to both inbound and outbound rules. This quota multiplied by the quota for security groups per network interface cannot exceed 1000. For example, if you increase this quota to 100, we decrease the quota for your number of security groups per network interface to 10.</w:t>
            </w:r>
          </w:p>
          <w:p w:rsidR="006964D5" w:rsidRPr="00D409B0" w:rsidRDefault="006964D5" w:rsidP="006964D5">
            <w:pPr>
              <w:spacing w:before="240" w:after="0" w:line="360" w:lineRule="atLeast"/>
              <w:rPr>
                <w:rFonts w:eastAsia="Times New Roman" w:cs="Times New Roman"/>
                <w:color w:val="16191F"/>
                <w:sz w:val="24"/>
                <w:szCs w:val="24"/>
              </w:rPr>
            </w:pPr>
            <w:r w:rsidRPr="00D409B0">
              <w:rPr>
                <w:rFonts w:eastAsia="Times New Roman" w:cs="Times New Roman"/>
                <w:color w:val="16191F"/>
                <w:sz w:val="24"/>
                <w:szCs w:val="24"/>
              </w:rPr>
              <w:t>If you reference a customer-managed prefix list in a security group rule, the maximum number of entries for the prefix lists equals the same number of security group rules.</w:t>
            </w:r>
          </w:p>
        </w:tc>
      </w:tr>
      <w:tr w:rsidR="006964D5" w:rsidRPr="00D409B0" w:rsidTr="006964D5">
        <w:trPr>
          <w:tblCellSpacing w:w="15" w:type="dxa"/>
        </w:trPr>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lastRenderedPageBreak/>
              <w:t>Security groups per network interface</w:t>
            </w:r>
          </w:p>
        </w:tc>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w:t>
            </w:r>
          </w:p>
        </w:tc>
        <w:tc>
          <w:tcPr>
            <w:tcW w:w="0" w:type="auto"/>
            <w:tcBorders>
              <w:top w:val="nil"/>
              <w:left w:val="nil"/>
              <w:bottom w:val="single" w:sz="6" w:space="0" w:color="D5DBDB"/>
              <w:right w:val="single" w:sz="6" w:space="0" w:color="D5DBDB"/>
            </w:tcBorders>
            <w:shd w:val="clear" w:color="auto" w:fill="FFFFFF"/>
            <w:hideMark/>
          </w:tcPr>
          <w:p w:rsidR="006964D5" w:rsidRPr="00D409B0" w:rsidRDefault="006964D5" w:rsidP="006964D5">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The maximum is 16. This quota is enforced separately for IPv4 rules and IPv6 rules. The quota for security groups per network interface multiplied by the quota for rules per security group cannot exceed 1000. For example, if you increase this quota to 10, we decrease the quota for your number of rules per security group to 100.</w:t>
            </w:r>
          </w:p>
        </w:tc>
      </w:tr>
    </w:tbl>
    <w:p w:rsidR="00437F7A" w:rsidRPr="00D409B0" w:rsidRDefault="00437F7A" w:rsidP="00437F7A">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t>VPC peering connections</w:t>
      </w:r>
    </w:p>
    <w:p w:rsidR="00437F7A" w:rsidRPr="00D409B0" w:rsidRDefault="00437F7A" w:rsidP="00437F7A">
      <w:pPr>
        <w:spacing w:after="0" w:line="240" w:lineRule="auto"/>
        <w:rPr>
          <w:rFonts w:eastAsia="Times New Roman" w:cs="Times New Roman"/>
          <w:color w:val="16191F"/>
          <w:sz w:val="24"/>
          <w:szCs w:val="24"/>
        </w:rPr>
      </w:pPr>
      <w:proofErr w:type="spellStart"/>
      <w:r w:rsidRPr="00D409B0">
        <w:rPr>
          <w:rFonts w:eastAsia="Times New Roman" w:cs="Times New Roman"/>
          <w:color w:val="16191F"/>
          <w:sz w:val="24"/>
          <w:szCs w:val="24"/>
        </w:rPr>
        <w:t>ResourceDefaultComments</w:t>
      </w:r>
      <w:proofErr w:type="spellEnd"/>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Active VPC peering connections per VPC</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50</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The maximum quota is 125 peering connections per VPC. The number of entries per route table should be increased accordingly; however, network performance might be impacted.</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Outstanding VPC peering connection requests</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25</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is the quota for the number of outstanding VPC peering connection requests that you've requested from your account.</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Expiry time for an unaccepted VPC peering connection request</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1 week (168 hours)</w:t>
      </w:r>
    </w:p>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cannot be increased.</w:t>
      </w:r>
    </w:p>
    <w:p w:rsidR="006964D5" w:rsidRPr="00D409B0" w:rsidRDefault="006964D5" w:rsidP="00A5518E">
      <w:pPr>
        <w:spacing w:line="240" w:lineRule="auto"/>
      </w:pPr>
    </w:p>
    <w:p w:rsidR="00437F7A" w:rsidRPr="00D409B0" w:rsidRDefault="00437F7A" w:rsidP="00437F7A">
      <w:pPr>
        <w:pStyle w:val="Heading2"/>
        <w:pBdr>
          <w:top w:val="single" w:sz="6" w:space="12" w:color="D5DBDB"/>
        </w:pBdr>
        <w:shd w:val="clear" w:color="auto" w:fill="FFFFFF"/>
        <w:spacing w:before="240" w:beforeAutospacing="0" w:after="180" w:afterAutospacing="0" w:line="294" w:lineRule="atLeast"/>
        <w:rPr>
          <w:rFonts w:asciiTheme="minorHAnsi" w:hAnsiTheme="minorHAnsi"/>
          <w:b w:val="0"/>
          <w:bCs w:val="0"/>
          <w:color w:val="16191F"/>
          <w:sz w:val="39"/>
          <w:szCs w:val="39"/>
        </w:rPr>
      </w:pPr>
      <w:r w:rsidRPr="00D409B0">
        <w:rPr>
          <w:rFonts w:asciiTheme="minorHAnsi" w:hAnsiTheme="minorHAnsi"/>
          <w:b w:val="0"/>
          <w:bCs w:val="0"/>
          <w:color w:val="16191F"/>
          <w:sz w:val="39"/>
          <w:szCs w:val="39"/>
        </w:rPr>
        <w:lastRenderedPageBreak/>
        <w:t>VPC endpoints</w:t>
      </w:r>
    </w:p>
    <w:tbl>
      <w:tblPr>
        <w:tblW w:w="0" w:type="auto"/>
        <w:tblCellSpacing w:w="15" w:type="dxa"/>
        <w:shd w:val="clear" w:color="auto" w:fill="FFFFFF"/>
        <w:tblCellMar>
          <w:top w:w="15" w:type="dxa"/>
          <w:left w:w="15" w:type="dxa"/>
          <w:bottom w:w="15" w:type="dxa"/>
          <w:right w:w="15" w:type="dxa"/>
        </w:tblCellMar>
        <w:tblLook w:val="04A0"/>
      </w:tblPr>
      <w:tblGrid>
        <w:gridCol w:w="2273"/>
        <w:gridCol w:w="1900"/>
        <w:gridCol w:w="5297"/>
      </w:tblGrid>
      <w:tr w:rsidR="00437F7A" w:rsidRPr="00D409B0" w:rsidTr="00437F7A">
        <w:trPr>
          <w:tblHeader/>
          <w:tblCellSpacing w:w="15" w:type="dxa"/>
        </w:trPr>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437F7A" w:rsidRPr="00D409B0" w:rsidRDefault="00437F7A" w:rsidP="00437F7A">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Resource</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437F7A" w:rsidRPr="00D409B0" w:rsidRDefault="00437F7A" w:rsidP="00437F7A">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Default</w:t>
            </w:r>
          </w:p>
        </w:tc>
        <w:tc>
          <w:tcPr>
            <w:tcW w:w="0" w:type="auto"/>
            <w:tcBorders>
              <w:top w:val="single" w:sz="2" w:space="0" w:color="D5DBDB"/>
              <w:left w:val="single" w:sz="2" w:space="0" w:color="D5DBDB"/>
              <w:bottom w:val="single" w:sz="6" w:space="0" w:color="D5DBDB"/>
              <w:right w:val="single" w:sz="6" w:space="0" w:color="D5DBDB"/>
            </w:tcBorders>
            <w:shd w:val="clear" w:color="auto" w:fill="FAFAFA"/>
            <w:hideMark/>
          </w:tcPr>
          <w:p w:rsidR="00437F7A" w:rsidRPr="00D409B0" w:rsidRDefault="00437F7A" w:rsidP="00437F7A">
            <w:pPr>
              <w:spacing w:after="0" w:line="360" w:lineRule="atLeast"/>
              <w:rPr>
                <w:rFonts w:eastAsia="Times New Roman" w:cs="Times New Roman"/>
                <w:b/>
                <w:bCs/>
                <w:color w:val="545B64"/>
                <w:sz w:val="24"/>
                <w:szCs w:val="24"/>
              </w:rPr>
            </w:pPr>
            <w:r w:rsidRPr="00D409B0">
              <w:rPr>
                <w:rFonts w:eastAsia="Times New Roman" w:cs="Times New Roman"/>
                <w:b/>
                <w:bCs/>
                <w:color w:val="545B64"/>
                <w:sz w:val="24"/>
                <w:szCs w:val="24"/>
              </w:rPr>
              <w:t>Comments</w:t>
            </w:r>
          </w:p>
        </w:tc>
      </w:tr>
      <w:tr w:rsidR="00437F7A" w:rsidRPr="00D409B0" w:rsidTr="00437F7A">
        <w:trPr>
          <w:tblCellSpacing w:w="15" w:type="dxa"/>
        </w:trPr>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Gateway VPC endpoints per Region</w:t>
            </w:r>
          </w:p>
        </w:tc>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20</w:t>
            </w:r>
          </w:p>
        </w:tc>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You cannot have more than 255 gateway endpoints per VPC.</w:t>
            </w:r>
          </w:p>
        </w:tc>
      </w:tr>
      <w:tr w:rsidR="00437F7A" w:rsidRPr="00D409B0" w:rsidTr="00437F7A">
        <w:trPr>
          <w:tblCellSpacing w:w="15" w:type="dxa"/>
        </w:trPr>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Interface and Gateway Load Balancer endpoints per VPC</w:t>
            </w:r>
          </w:p>
        </w:tc>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50</w:t>
            </w:r>
          </w:p>
        </w:tc>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is the combined quota for the maximum number of interface endpoints and Gateway Load Balancer endpoints in a VPC. To increase this quota, contact AWS Support.</w:t>
            </w:r>
          </w:p>
        </w:tc>
      </w:tr>
      <w:tr w:rsidR="00437F7A" w:rsidRPr="00D409B0" w:rsidTr="00437F7A">
        <w:trPr>
          <w:tblCellSpacing w:w="15" w:type="dxa"/>
        </w:trPr>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VPC endpoint policy size</w:t>
            </w:r>
          </w:p>
        </w:tc>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20,480 characters (including white space)</w:t>
            </w:r>
          </w:p>
        </w:tc>
        <w:tc>
          <w:tcPr>
            <w:tcW w:w="0" w:type="auto"/>
            <w:tcBorders>
              <w:top w:val="nil"/>
              <w:left w:val="nil"/>
              <w:bottom w:val="single" w:sz="6" w:space="0" w:color="D5DBDB"/>
              <w:right w:val="single" w:sz="6" w:space="0" w:color="D5DBDB"/>
            </w:tcBorders>
            <w:shd w:val="clear" w:color="auto" w:fill="FFFFFF"/>
            <w:hideMark/>
          </w:tcPr>
          <w:p w:rsidR="00437F7A" w:rsidRPr="00D409B0" w:rsidRDefault="00437F7A" w:rsidP="00437F7A">
            <w:pPr>
              <w:spacing w:after="0" w:line="360" w:lineRule="atLeast"/>
              <w:rPr>
                <w:rFonts w:eastAsia="Times New Roman" w:cs="Times New Roman"/>
                <w:color w:val="16191F"/>
                <w:sz w:val="24"/>
                <w:szCs w:val="24"/>
              </w:rPr>
            </w:pPr>
            <w:r w:rsidRPr="00D409B0">
              <w:rPr>
                <w:rFonts w:eastAsia="Times New Roman" w:cs="Times New Roman"/>
                <w:color w:val="16191F"/>
                <w:sz w:val="24"/>
                <w:szCs w:val="24"/>
              </w:rPr>
              <w:t>This quota cannot be increased.</w:t>
            </w:r>
          </w:p>
        </w:tc>
      </w:tr>
    </w:tbl>
    <w:p w:rsidR="00437F7A" w:rsidRPr="00D409B0" w:rsidRDefault="00437F7A" w:rsidP="00A5518E">
      <w:pPr>
        <w:spacing w:line="240" w:lineRule="auto"/>
      </w:pPr>
    </w:p>
    <w:p w:rsidR="00E939C3" w:rsidRPr="00D409B0" w:rsidRDefault="00E939C3" w:rsidP="00A5518E">
      <w:pPr>
        <w:spacing w:line="240" w:lineRule="auto"/>
      </w:pPr>
    </w:p>
    <w:p w:rsidR="00E939C3" w:rsidRPr="00D409B0" w:rsidRDefault="00E939C3" w:rsidP="00A5518E">
      <w:pPr>
        <w:spacing w:line="240" w:lineRule="auto"/>
      </w:pPr>
    </w:p>
    <w:p w:rsidR="00E939C3" w:rsidRPr="00D409B0" w:rsidRDefault="00E939C3" w:rsidP="00A5518E">
      <w:pPr>
        <w:spacing w:line="240" w:lineRule="auto"/>
      </w:pPr>
    </w:p>
    <w:p w:rsidR="00E939C3" w:rsidRPr="00D409B0" w:rsidRDefault="00E939C3" w:rsidP="00E939C3">
      <w:pPr>
        <w:shd w:val="clear" w:color="auto" w:fill="FFFFFF"/>
        <w:spacing w:after="0" w:line="276" w:lineRule="atLeast"/>
        <w:outlineLvl w:val="1"/>
        <w:rPr>
          <w:rFonts w:eastAsia="Times New Roman" w:cs="Arial"/>
          <w:b/>
          <w:bCs/>
          <w:color w:val="000000"/>
          <w:sz w:val="36"/>
          <w:szCs w:val="36"/>
        </w:rPr>
      </w:pPr>
      <w:r w:rsidRPr="00D409B0">
        <w:rPr>
          <w:rFonts w:eastAsia="Times New Roman" w:cs="Arial"/>
          <w:b/>
          <w:bCs/>
          <w:color w:val="000000"/>
          <w:sz w:val="36"/>
          <w:szCs w:val="36"/>
        </w:rPr>
        <w:t>AWS Lambda has the following limitations</w:t>
      </w:r>
    </w:p>
    <w:p w:rsidR="00E939C3" w:rsidRPr="00D409B0" w:rsidRDefault="00E939C3" w:rsidP="00E939C3">
      <w:pPr>
        <w:shd w:val="clear" w:color="auto" w:fill="FFFFFF"/>
        <w:spacing w:after="0" w:line="240" w:lineRule="auto"/>
        <w:rPr>
          <w:rFonts w:eastAsia="Times New Roman" w:cs="Arial"/>
          <w:sz w:val="24"/>
          <w:szCs w:val="24"/>
        </w:rPr>
      </w:pPr>
      <w:r w:rsidRPr="00D409B0">
        <w:rPr>
          <w:rFonts w:eastAsia="Times New Roman" w:cs="Arial"/>
          <w:sz w:val="24"/>
          <w:szCs w:val="24"/>
        </w:rPr>
        <w:t>Runtime Environment limitations:</w:t>
      </w:r>
    </w:p>
    <w:p w:rsidR="00E939C3" w:rsidRPr="00D409B0" w:rsidRDefault="00E939C3" w:rsidP="00E939C3">
      <w:pPr>
        <w:numPr>
          <w:ilvl w:val="0"/>
          <w:numId w:val="1"/>
        </w:numPr>
        <w:shd w:val="clear" w:color="auto" w:fill="FFFFFF"/>
        <w:spacing w:after="150" w:line="240" w:lineRule="auto"/>
        <w:ind w:left="0"/>
        <w:rPr>
          <w:rFonts w:eastAsia="Times New Roman" w:cs="Arial"/>
          <w:color w:val="000000"/>
          <w:sz w:val="24"/>
          <w:szCs w:val="24"/>
        </w:rPr>
      </w:pPr>
      <w:r w:rsidRPr="00D409B0">
        <w:rPr>
          <w:rFonts w:eastAsia="Times New Roman" w:cs="Arial"/>
          <w:color w:val="000000"/>
          <w:sz w:val="24"/>
          <w:szCs w:val="24"/>
        </w:rPr>
        <w:t>The disk space (ephemeral) is limited to 512 MB.</w:t>
      </w:r>
    </w:p>
    <w:p w:rsidR="00E939C3" w:rsidRPr="00D409B0" w:rsidRDefault="00E939C3" w:rsidP="00E939C3">
      <w:pPr>
        <w:numPr>
          <w:ilvl w:val="0"/>
          <w:numId w:val="1"/>
        </w:numPr>
        <w:shd w:val="clear" w:color="auto" w:fill="FFFFFF"/>
        <w:spacing w:after="150" w:line="240" w:lineRule="auto"/>
        <w:ind w:left="0"/>
        <w:rPr>
          <w:rFonts w:eastAsia="Times New Roman" w:cs="Arial"/>
          <w:color w:val="000000"/>
          <w:sz w:val="24"/>
          <w:szCs w:val="24"/>
        </w:rPr>
      </w:pPr>
      <w:r w:rsidRPr="00D409B0">
        <w:rPr>
          <w:rFonts w:eastAsia="Times New Roman" w:cs="Arial"/>
          <w:color w:val="000000"/>
          <w:sz w:val="24"/>
          <w:szCs w:val="24"/>
        </w:rPr>
        <w:t>The default deployment package size is 50 MB.</w:t>
      </w:r>
    </w:p>
    <w:p w:rsidR="00E939C3" w:rsidRPr="00D409B0" w:rsidRDefault="00E939C3" w:rsidP="00E939C3">
      <w:pPr>
        <w:numPr>
          <w:ilvl w:val="0"/>
          <w:numId w:val="1"/>
        </w:numPr>
        <w:shd w:val="clear" w:color="auto" w:fill="FFFFFF"/>
        <w:spacing w:after="150" w:line="240" w:lineRule="auto"/>
        <w:ind w:left="0"/>
        <w:rPr>
          <w:rFonts w:eastAsia="Times New Roman" w:cs="Arial"/>
          <w:color w:val="000000"/>
          <w:sz w:val="24"/>
          <w:szCs w:val="24"/>
        </w:rPr>
      </w:pPr>
      <w:r w:rsidRPr="00D409B0">
        <w:rPr>
          <w:rFonts w:eastAsia="Times New Roman" w:cs="Arial"/>
          <w:color w:val="000000"/>
          <w:sz w:val="24"/>
          <w:szCs w:val="24"/>
        </w:rPr>
        <w:t>The memory range is from 128 to 3008 MB.</w:t>
      </w:r>
    </w:p>
    <w:p w:rsidR="00E939C3" w:rsidRPr="00D409B0" w:rsidRDefault="00E939C3" w:rsidP="00E939C3">
      <w:pPr>
        <w:numPr>
          <w:ilvl w:val="0"/>
          <w:numId w:val="1"/>
        </w:numPr>
        <w:shd w:val="clear" w:color="auto" w:fill="FFFFFF"/>
        <w:spacing w:after="150" w:line="240" w:lineRule="auto"/>
        <w:ind w:left="0"/>
        <w:rPr>
          <w:rFonts w:eastAsia="Times New Roman" w:cs="Arial"/>
          <w:color w:val="000000"/>
          <w:sz w:val="24"/>
          <w:szCs w:val="24"/>
        </w:rPr>
      </w:pPr>
      <w:r w:rsidRPr="00D409B0">
        <w:rPr>
          <w:rFonts w:eastAsia="Times New Roman" w:cs="Arial"/>
          <w:color w:val="000000"/>
          <w:sz w:val="24"/>
          <w:szCs w:val="24"/>
        </w:rPr>
        <w:t>The maximum execution timeout for a function is 15 minutes*.</w:t>
      </w:r>
      <w:r w:rsidRPr="00D409B0">
        <w:rPr>
          <w:rFonts w:eastAsia="Times New Roman" w:cs="Arial"/>
          <w:color w:val="000000"/>
          <w:sz w:val="24"/>
          <w:szCs w:val="24"/>
        </w:rPr>
        <w:br/>
        <w:t>Requests limitations by Lambda:</w:t>
      </w:r>
    </w:p>
    <w:p w:rsidR="00E939C3" w:rsidRPr="00D409B0" w:rsidRDefault="00E939C3" w:rsidP="00E939C3">
      <w:pPr>
        <w:numPr>
          <w:ilvl w:val="0"/>
          <w:numId w:val="1"/>
        </w:numPr>
        <w:shd w:val="clear" w:color="auto" w:fill="FFFFFF"/>
        <w:spacing w:after="150" w:line="240" w:lineRule="auto"/>
        <w:ind w:left="0"/>
        <w:rPr>
          <w:rFonts w:eastAsia="Times New Roman" w:cs="Arial"/>
          <w:color w:val="000000"/>
          <w:sz w:val="24"/>
          <w:szCs w:val="24"/>
        </w:rPr>
      </w:pPr>
      <w:r w:rsidRPr="00D409B0">
        <w:rPr>
          <w:rFonts w:eastAsia="Times New Roman" w:cs="Arial"/>
          <w:color w:val="000000"/>
          <w:sz w:val="24"/>
          <w:szCs w:val="24"/>
        </w:rPr>
        <w:t xml:space="preserve">Request and response (synchronous calls) body payload size can be up to </w:t>
      </w:r>
      <w:proofErr w:type="spellStart"/>
      <w:r w:rsidRPr="00D409B0">
        <w:rPr>
          <w:rFonts w:eastAsia="Times New Roman" w:cs="Arial"/>
          <w:color w:val="000000"/>
          <w:sz w:val="24"/>
          <w:szCs w:val="24"/>
        </w:rPr>
        <w:t>to</w:t>
      </w:r>
      <w:proofErr w:type="spellEnd"/>
      <w:r w:rsidRPr="00D409B0">
        <w:rPr>
          <w:rFonts w:eastAsia="Times New Roman" w:cs="Arial"/>
          <w:color w:val="000000"/>
          <w:sz w:val="24"/>
          <w:szCs w:val="24"/>
        </w:rPr>
        <w:t xml:space="preserve"> 6 MB.</w:t>
      </w:r>
    </w:p>
    <w:p w:rsidR="00E939C3" w:rsidRPr="00D409B0" w:rsidRDefault="00E939C3" w:rsidP="00E939C3">
      <w:pPr>
        <w:numPr>
          <w:ilvl w:val="0"/>
          <w:numId w:val="1"/>
        </w:numPr>
        <w:pBdr>
          <w:bottom w:val="single" w:sz="6" w:space="1" w:color="auto"/>
        </w:pBdr>
        <w:shd w:val="clear" w:color="auto" w:fill="FFFFFF"/>
        <w:spacing w:after="0" w:line="240" w:lineRule="auto"/>
        <w:ind w:left="0"/>
        <w:rPr>
          <w:rFonts w:eastAsia="Times New Roman" w:cs="Arial"/>
          <w:color w:val="000000"/>
          <w:sz w:val="24"/>
          <w:szCs w:val="24"/>
        </w:rPr>
      </w:pPr>
      <w:r w:rsidRPr="00D409B0">
        <w:rPr>
          <w:rFonts w:eastAsia="Times New Roman" w:cs="Arial"/>
          <w:color w:val="000000"/>
          <w:sz w:val="24"/>
          <w:szCs w:val="24"/>
        </w:rPr>
        <w:t>Event request (asynchronous calls) body can be up to 128 KB.</w:t>
      </w:r>
    </w:p>
    <w:p w:rsidR="00E939C3" w:rsidRPr="00D409B0" w:rsidRDefault="00E939C3" w:rsidP="00A5518E">
      <w:pPr>
        <w:spacing w:line="240" w:lineRule="auto"/>
      </w:pPr>
    </w:p>
    <w:sectPr w:rsidR="00E939C3" w:rsidRPr="00D409B0" w:rsidSect="00AA0B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A0DF9"/>
    <w:multiLevelType w:val="multilevel"/>
    <w:tmpl w:val="890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7D0C"/>
    <w:rsid w:val="001A07E8"/>
    <w:rsid w:val="00300240"/>
    <w:rsid w:val="00307410"/>
    <w:rsid w:val="00437F7A"/>
    <w:rsid w:val="006964D5"/>
    <w:rsid w:val="00757D0C"/>
    <w:rsid w:val="00A5518E"/>
    <w:rsid w:val="00AA0B93"/>
    <w:rsid w:val="00C46287"/>
    <w:rsid w:val="00D409B0"/>
    <w:rsid w:val="00E939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B93"/>
  </w:style>
  <w:style w:type="paragraph" w:styleId="Heading2">
    <w:name w:val="heading 2"/>
    <w:basedOn w:val="Normal"/>
    <w:link w:val="Heading2Char"/>
    <w:uiPriority w:val="9"/>
    <w:qFormat/>
    <w:rsid w:val="00757D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7D0C"/>
    <w:rPr>
      <w:rFonts w:ascii="Times New Roman" w:eastAsia="Times New Roman" w:hAnsi="Times New Roman" w:cs="Times New Roman"/>
      <w:b/>
      <w:bCs/>
      <w:sz w:val="36"/>
      <w:szCs w:val="36"/>
    </w:rPr>
  </w:style>
  <w:style w:type="paragraph" w:styleId="NormalWeb">
    <w:name w:val="Normal (Web)"/>
    <w:basedOn w:val="Normal"/>
    <w:uiPriority w:val="99"/>
    <w:unhideWhenUsed/>
    <w:rsid w:val="00757D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00240"/>
    <w:rPr>
      <w:color w:val="0000FF"/>
      <w:u w:val="single"/>
    </w:rPr>
  </w:style>
  <w:style w:type="character" w:styleId="Emphasis">
    <w:name w:val="Emphasis"/>
    <w:basedOn w:val="DefaultParagraphFont"/>
    <w:uiPriority w:val="20"/>
    <w:qFormat/>
    <w:rsid w:val="00300240"/>
    <w:rPr>
      <w:i/>
      <w:iCs/>
    </w:rPr>
  </w:style>
  <w:style w:type="character" w:styleId="HTMLCode">
    <w:name w:val="HTML Code"/>
    <w:basedOn w:val="DefaultParagraphFont"/>
    <w:uiPriority w:val="99"/>
    <w:semiHidden/>
    <w:unhideWhenUsed/>
    <w:rsid w:val="0030024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9207310">
      <w:bodyDiv w:val="1"/>
      <w:marLeft w:val="0"/>
      <w:marRight w:val="0"/>
      <w:marTop w:val="0"/>
      <w:marBottom w:val="0"/>
      <w:divBdr>
        <w:top w:val="none" w:sz="0" w:space="0" w:color="auto"/>
        <w:left w:val="none" w:sz="0" w:space="0" w:color="auto"/>
        <w:bottom w:val="none" w:sz="0" w:space="0" w:color="auto"/>
        <w:right w:val="none" w:sz="0" w:space="0" w:color="auto"/>
      </w:divBdr>
    </w:div>
    <w:div w:id="70736254">
      <w:bodyDiv w:val="1"/>
      <w:marLeft w:val="0"/>
      <w:marRight w:val="0"/>
      <w:marTop w:val="0"/>
      <w:marBottom w:val="0"/>
      <w:divBdr>
        <w:top w:val="none" w:sz="0" w:space="0" w:color="auto"/>
        <w:left w:val="none" w:sz="0" w:space="0" w:color="auto"/>
        <w:bottom w:val="none" w:sz="0" w:space="0" w:color="auto"/>
        <w:right w:val="none" w:sz="0" w:space="0" w:color="auto"/>
      </w:divBdr>
    </w:div>
    <w:div w:id="217211747">
      <w:bodyDiv w:val="1"/>
      <w:marLeft w:val="0"/>
      <w:marRight w:val="0"/>
      <w:marTop w:val="0"/>
      <w:marBottom w:val="0"/>
      <w:divBdr>
        <w:top w:val="none" w:sz="0" w:space="0" w:color="auto"/>
        <w:left w:val="none" w:sz="0" w:space="0" w:color="auto"/>
        <w:bottom w:val="none" w:sz="0" w:space="0" w:color="auto"/>
        <w:right w:val="none" w:sz="0" w:space="0" w:color="auto"/>
      </w:divBdr>
    </w:div>
    <w:div w:id="301928886">
      <w:bodyDiv w:val="1"/>
      <w:marLeft w:val="0"/>
      <w:marRight w:val="0"/>
      <w:marTop w:val="0"/>
      <w:marBottom w:val="0"/>
      <w:divBdr>
        <w:top w:val="none" w:sz="0" w:space="0" w:color="auto"/>
        <w:left w:val="none" w:sz="0" w:space="0" w:color="auto"/>
        <w:bottom w:val="none" w:sz="0" w:space="0" w:color="auto"/>
        <w:right w:val="none" w:sz="0" w:space="0" w:color="auto"/>
      </w:divBdr>
    </w:div>
    <w:div w:id="403064918">
      <w:bodyDiv w:val="1"/>
      <w:marLeft w:val="0"/>
      <w:marRight w:val="0"/>
      <w:marTop w:val="0"/>
      <w:marBottom w:val="0"/>
      <w:divBdr>
        <w:top w:val="none" w:sz="0" w:space="0" w:color="auto"/>
        <w:left w:val="none" w:sz="0" w:space="0" w:color="auto"/>
        <w:bottom w:val="none" w:sz="0" w:space="0" w:color="auto"/>
        <w:right w:val="none" w:sz="0" w:space="0" w:color="auto"/>
      </w:divBdr>
    </w:div>
    <w:div w:id="567502073">
      <w:bodyDiv w:val="1"/>
      <w:marLeft w:val="0"/>
      <w:marRight w:val="0"/>
      <w:marTop w:val="0"/>
      <w:marBottom w:val="0"/>
      <w:divBdr>
        <w:top w:val="none" w:sz="0" w:space="0" w:color="auto"/>
        <w:left w:val="none" w:sz="0" w:space="0" w:color="auto"/>
        <w:bottom w:val="none" w:sz="0" w:space="0" w:color="auto"/>
        <w:right w:val="none" w:sz="0" w:space="0" w:color="auto"/>
      </w:divBdr>
    </w:div>
    <w:div w:id="578901354">
      <w:bodyDiv w:val="1"/>
      <w:marLeft w:val="0"/>
      <w:marRight w:val="0"/>
      <w:marTop w:val="0"/>
      <w:marBottom w:val="0"/>
      <w:divBdr>
        <w:top w:val="none" w:sz="0" w:space="0" w:color="auto"/>
        <w:left w:val="none" w:sz="0" w:space="0" w:color="auto"/>
        <w:bottom w:val="none" w:sz="0" w:space="0" w:color="auto"/>
        <w:right w:val="none" w:sz="0" w:space="0" w:color="auto"/>
      </w:divBdr>
    </w:div>
    <w:div w:id="591817979">
      <w:bodyDiv w:val="1"/>
      <w:marLeft w:val="0"/>
      <w:marRight w:val="0"/>
      <w:marTop w:val="0"/>
      <w:marBottom w:val="0"/>
      <w:divBdr>
        <w:top w:val="none" w:sz="0" w:space="0" w:color="auto"/>
        <w:left w:val="none" w:sz="0" w:space="0" w:color="auto"/>
        <w:bottom w:val="none" w:sz="0" w:space="0" w:color="auto"/>
        <w:right w:val="none" w:sz="0" w:space="0" w:color="auto"/>
      </w:divBdr>
    </w:div>
    <w:div w:id="755589410">
      <w:bodyDiv w:val="1"/>
      <w:marLeft w:val="0"/>
      <w:marRight w:val="0"/>
      <w:marTop w:val="0"/>
      <w:marBottom w:val="0"/>
      <w:divBdr>
        <w:top w:val="none" w:sz="0" w:space="0" w:color="auto"/>
        <w:left w:val="none" w:sz="0" w:space="0" w:color="auto"/>
        <w:bottom w:val="none" w:sz="0" w:space="0" w:color="auto"/>
        <w:right w:val="none" w:sz="0" w:space="0" w:color="auto"/>
      </w:divBdr>
    </w:div>
    <w:div w:id="786851667">
      <w:bodyDiv w:val="1"/>
      <w:marLeft w:val="0"/>
      <w:marRight w:val="0"/>
      <w:marTop w:val="0"/>
      <w:marBottom w:val="0"/>
      <w:divBdr>
        <w:top w:val="none" w:sz="0" w:space="0" w:color="auto"/>
        <w:left w:val="none" w:sz="0" w:space="0" w:color="auto"/>
        <w:bottom w:val="none" w:sz="0" w:space="0" w:color="auto"/>
        <w:right w:val="none" w:sz="0" w:space="0" w:color="auto"/>
      </w:divBdr>
    </w:div>
    <w:div w:id="1176925034">
      <w:bodyDiv w:val="1"/>
      <w:marLeft w:val="0"/>
      <w:marRight w:val="0"/>
      <w:marTop w:val="0"/>
      <w:marBottom w:val="0"/>
      <w:divBdr>
        <w:top w:val="none" w:sz="0" w:space="0" w:color="auto"/>
        <w:left w:val="none" w:sz="0" w:space="0" w:color="auto"/>
        <w:bottom w:val="none" w:sz="0" w:space="0" w:color="auto"/>
        <w:right w:val="none" w:sz="0" w:space="0" w:color="auto"/>
      </w:divBdr>
    </w:div>
    <w:div w:id="1274283263">
      <w:bodyDiv w:val="1"/>
      <w:marLeft w:val="0"/>
      <w:marRight w:val="0"/>
      <w:marTop w:val="0"/>
      <w:marBottom w:val="0"/>
      <w:divBdr>
        <w:top w:val="none" w:sz="0" w:space="0" w:color="auto"/>
        <w:left w:val="none" w:sz="0" w:space="0" w:color="auto"/>
        <w:bottom w:val="none" w:sz="0" w:space="0" w:color="auto"/>
        <w:right w:val="none" w:sz="0" w:space="0" w:color="auto"/>
      </w:divBdr>
    </w:div>
    <w:div w:id="1324973861">
      <w:bodyDiv w:val="1"/>
      <w:marLeft w:val="0"/>
      <w:marRight w:val="0"/>
      <w:marTop w:val="0"/>
      <w:marBottom w:val="0"/>
      <w:divBdr>
        <w:top w:val="none" w:sz="0" w:space="0" w:color="auto"/>
        <w:left w:val="none" w:sz="0" w:space="0" w:color="auto"/>
        <w:bottom w:val="none" w:sz="0" w:space="0" w:color="auto"/>
        <w:right w:val="none" w:sz="0" w:space="0" w:color="auto"/>
      </w:divBdr>
    </w:div>
    <w:div w:id="1490440179">
      <w:bodyDiv w:val="1"/>
      <w:marLeft w:val="0"/>
      <w:marRight w:val="0"/>
      <w:marTop w:val="0"/>
      <w:marBottom w:val="0"/>
      <w:divBdr>
        <w:top w:val="none" w:sz="0" w:space="0" w:color="auto"/>
        <w:left w:val="none" w:sz="0" w:space="0" w:color="auto"/>
        <w:bottom w:val="none" w:sz="0" w:space="0" w:color="auto"/>
        <w:right w:val="none" w:sz="0" w:space="0" w:color="auto"/>
      </w:divBdr>
    </w:div>
    <w:div w:id="1722097266">
      <w:bodyDiv w:val="1"/>
      <w:marLeft w:val="0"/>
      <w:marRight w:val="0"/>
      <w:marTop w:val="0"/>
      <w:marBottom w:val="0"/>
      <w:divBdr>
        <w:top w:val="none" w:sz="0" w:space="0" w:color="auto"/>
        <w:left w:val="none" w:sz="0" w:space="0" w:color="auto"/>
        <w:bottom w:val="none" w:sz="0" w:space="0" w:color="auto"/>
        <w:right w:val="none" w:sz="0" w:space="0" w:color="auto"/>
      </w:divBdr>
    </w:div>
    <w:div w:id="1727725946">
      <w:bodyDiv w:val="1"/>
      <w:marLeft w:val="0"/>
      <w:marRight w:val="0"/>
      <w:marTop w:val="0"/>
      <w:marBottom w:val="0"/>
      <w:divBdr>
        <w:top w:val="none" w:sz="0" w:space="0" w:color="auto"/>
        <w:left w:val="none" w:sz="0" w:space="0" w:color="auto"/>
        <w:bottom w:val="none" w:sz="0" w:space="0" w:color="auto"/>
        <w:right w:val="none" w:sz="0" w:space="0" w:color="auto"/>
      </w:divBdr>
    </w:div>
    <w:div w:id="1798790735">
      <w:bodyDiv w:val="1"/>
      <w:marLeft w:val="0"/>
      <w:marRight w:val="0"/>
      <w:marTop w:val="0"/>
      <w:marBottom w:val="0"/>
      <w:divBdr>
        <w:top w:val="none" w:sz="0" w:space="0" w:color="auto"/>
        <w:left w:val="none" w:sz="0" w:space="0" w:color="auto"/>
        <w:bottom w:val="none" w:sz="0" w:space="0" w:color="auto"/>
        <w:right w:val="none" w:sz="0" w:space="0" w:color="auto"/>
      </w:divBdr>
    </w:div>
    <w:div w:id="1876573854">
      <w:bodyDiv w:val="1"/>
      <w:marLeft w:val="0"/>
      <w:marRight w:val="0"/>
      <w:marTop w:val="0"/>
      <w:marBottom w:val="0"/>
      <w:divBdr>
        <w:top w:val="none" w:sz="0" w:space="0" w:color="auto"/>
        <w:left w:val="none" w:sz="0" w:space="0" w:color="auto"/>
        <w:bottom w:val="none" w:sz="0" w:space="0" w:color="auto"/>
        <w:right w:val="none" w:sz="0" w:space="0" w:color="auto"/>
      </w:divBdr>
    </w:div>
    <w:div w:id="1923446369">
      <w:bodyDiv w:val="1"/>
      <w:marLeft w:val="0"/>
      <w:marRight w:val="0"/>
      <w:marTop w:val="0"/>
      <w:marBottom w:val="0"/>
      <w:divBdr>
        <w:top w:val="none" w:sz="0" w:space="0" w:color="auto"/>
        <w:left w:val="none" w:sz="0" w:space="0" w:color="auto"/>
        <w:bottom w:val="none" w:sz="0" w:space="0" w:color="auto"/>
        <w:right w:val="none" w:sz="0" w:space="0" w:color="auto"/>
      </w:divBdr>
    </w:div>
    <w:div w:id="1962344656">
      <w:bodyDiv w:val="1"/>
      <w:marLeft w:val="0"/>
      <w:marRight w:val="0"/>
      <w:marTop w:val="0"/>
      <w:marBottom w:val="0"/>
      <w:divBdr>
        <w:top w:val="none" w:sz="0" w:space="0" w:color="auto"/>
        <w:left w:val="none" w:sz="0" w:space="0" w:color="auto"/>
        <w:bottom w:val="none" w:sz="0" w:space="0" w:color="auto"/>
        <w:right w:val="none" w:sz="0" w:space="0" w:color="auto"/>
      </w:divBdr>
    </w:div>
    <w:div w:id="2132625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vpn/latest/s2svpn/vpn-limits.html" TargetMode="External"/><Relationship Id="rId3" Type="http://schemas.openxmlformats.org/officeDocument/2006/relationships/settings" Target="settings.xml"/><Relationship Id="rId7" Type="http://schemas.openxmlformats.org/officeDocument/2006/relationships/hyperlink" Target="https://docs.aws.amazon.com/vpn/latest/s2svpn/vpn-limi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ws.amazon.com/general/latest/gr/ec2-service.html" TargetMode="External"/><Relationship Id="rId11" Type="http://schemas.openxmlformats.org/officeDocument/2006/relationships/theme" Target="theme/theme1.xml"/><Relationship Id="rId5" Type="http://schemas.openxmlformats.org/officeDocument/2006/relationships/hyperlink" Target="https://d1.awsstatic.com/whitepapers/hybrid-cloud-dns-options-for-vpc.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ws.amazon.com/AWSEC2/latest/UserGuide/using-en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1266</Words>
  <Characters>7218</Characters>
  <Application>Microsoft Office Word</Application>
  <DocSecurity>0</DocSecurity>
  <Lines>60</Lines>
  <Paragraphs>16</Paragraphs>
  <ScaleCrop>false</ScaleCrop>
  <Company/>
  <LinksUpToDate>false</LinksUpToDate>
  <CharactersWithSpaces>8468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9</cp:revision>
  <dcterms:created xsi:type="dcterms:W3CDTF">2021-06-11T08:21:00Z</dcterms:created>
  <dcterms:modified xsi:type="dcterms:W3CDTF">2021-06-19T05:54:00Z</dcterms:modified>
</cp:coreProperties>
</file>