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ERM-001 — Enterprise Entity Resolution Business Capability Specification</w:t>
      </w:r>
    </w:p>
    <w:p>
      <w:pPr>
        <w:jc w:val="center"/>
      </w:pPr>
      <w:r>
        <w:rPr>
          <w:b/>
        </w:rPr>
        <w:t>Version 2.1</w:t>
        <w:br/>
      </w:r>
      <w:r>
        <w:t>Status: FROZEN</w:t>
        <w:br/>
      </w:r>
      <w:r>
        <w:t>Release Type: Clarification Release</w:t>
        <w:br/>
      </w:r>
      <w:r>
        <w:t>Supersedes: ERM-001 v2.0</w:t>
      </w:r>
    </w:p>
    <w:p>
      <w:pPr>
        <w:pStyle w:val="Heading1"/>
      </w:pPr>
      <w:r>
        <w:t>Release Purpose</w:t>
      </w:r>
    </w:p>
    <w:p>
      <w:r>
        <w:t>This release resolves three business semantic ambiguities identified during the CDD-004 Architecture Clarification Review. It introduces no new business capabilities and does not modify the Canonical Enterprise Ontology, EAD-001, CDD-003, CDS-001, or CDD-004.</w:t>
      </w:r>
    </w:p>
    <w:p>
      <w:pPr>
        <w:pStyle w:val="Heading1"/>
      </w:pPr>
      <w:r>
        <w:t>Unchanged from Version 2.0</w:t>
      </w:r>
    </w:p>
    <w:p>
      <w:r>
        <w:t>• Enterprise Entity</w:t>
      </w:r>
    </w:p>
    <w:p>
      <w:r>
        <w:t>• Source Object</w:t>
      </w:r>
    </w:p>
    <w:p>
      <w:r>
        <w:t>• Source System</w:t>
      </w:r>
    </w:p>
    <w:p>
      <w:r>
        <w:t>• Resolution Outcomes</w:t>
      </w:r>
    </w:p>
    <w:p>
      <w:r>
        <w:t>• Business Confidence classifications (High / Medium / Low)</w:t>
      </w:r>
    </w:p>
    <w:p>
      <w:r>
        <w:t>• Capability Boundaries</w:t>
      </w:r>
    </w:p>
    <w:p>
      <w:r>
        <w:t>• Cognitive Principles</w:t>
      </w:r>
    </w:p>
    <w:p>
      <w:r>
        <w:t>• Canonical Enterprise Ontology</w:t>
      </w:r>
    </w:p>
    <w:p>
      <w:pPr>
        <w:pStyle w:val="Heading1"/>
      </w:pPr>
      <w:r>
        <w:t>Clarification 1 — Enterprise Entity Resolution Record Immutability</w:t>
      </w:r>
    </w:p>
    <w:p>
      <w:r>
        <w:t>An Enterprise Entity Resolution Record is an immutable business artifact.</w:t>
      </w:r>
    </w:p>
    <w:p>
      <w:r>
        <w:t>Once created, it SHALL NEVER be modified, SHALL NEVER be deleted, and its business content SHALL NEVER change.</w:t>
      </w:r>
    </w:p>
    <w:p>
      <w:r>
        <w:t>When enterprise understanding changes, a completely new Enterprise Entity Resolution Record SHALL be created.</w:t>
      </w:r>
    </w:p>
    <w:p>
      <w:r>
        <w:t>Historical understanding SHALL be preserved by maintaining resolution history outside the immutable record itself.</w:t>
      </w:r>
    </w:p>
    <w:p>
      <w:r>
        <w:t>No field within an existing Resolution Record may be updated to indicate supersession or archival.</w:t>
      </w:r>
    </w:p>
    <w:p>
      <w:r>
        <w:t>History management is the responsibility of the implementation layer and SHALL NOT alter immutable business artifacts.</w:t>
      </w:r>
    </w:p>
    <w:p>
      <w:pPr>
        <w:pStyle w:val="Heading1"/>
      </w:pPr>
      <w:r>
        <w:t>Clarification 2 — Resolution Record Cardinality</w:t>
      </w:r>
    </w:p>
    <w:p>
      <w:r>
        <w:t>A Resolution Record represents one enterprise understanding. It is not limited to a single Source Object.</w:t>
      </w:r>
    </w:p>
    <w:p>
      <w:r>
        <w:t>A Resolution Record MAY reference one or more Source Objects that together support the same enterprise understanding.</w:t>
      </w:r>
    </w:p>
    <w:p>
      <w:r>
        <w:t>Multiple Source Objects may contribute evidence to a single Resolution Record.</w:t>
      </w:r>
    </w:p>
    <w:p>
      <w:r>
        <w:t>Only ONE active Resolution Record SHALL exist for a given enterprise understanding.</w:t>
      </w:r>
    </w:p>
    <w:p>
      <w:r>
        <w:t>Historical Resolution Records remain archived.</w:t>
      </w:r>
    </w:p>
    <w:p>
      <w:pPr>
        <w:pStyle w:val="Heading2"/>
      </w:pPr>
      <w:r>
        <w:t>Illustrative Example</w:t>
      </w:r>
    </w:p>
    <w:p>
      <w:r>
        <w:t>SAP Supplier</w:t>
        <w:br/>
        <w:t xml:space="preserve">        \</w:t>
        <w:br/>
        <w:t>PLM Supplier -----&gt; Resolution Record -----&gt; Enterprise Entity</w:t>
        <w:br/>
        <w:t xml:space="preserve">        /</w:t>
        <w:br/>
        <w:t>Portal Supplier</w:t>
      </w:r>
    </w:p>
    <w:p>
      <w:pPr>
        <w:pStyle w:val="Heading1"/>
      </w:pPr>
      <w:r>
        <w:t>Clarification 3 — Business Confidence</w:t>
      </w:r>
    </w:p>
    <w:p>
      <w:r>
        <w:t>Business Confidence expresses the enterprise's confidence in its current understanding.</w:t>
      </w:r>
    </w:p>
    <w:p>
      <w:r>
        <w:t>Business Confidence SHALL NOT be interpreted as machine learning probability, algorithm confidence, or statistical certainty.</w:t>
      </w:r>
    </w:p>
    <w:p>
      <w:r>
        <w:t>Business Confidence is independent of Resolution Outcome.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Resolution Outcome</w:t>
            </w:r>
          </w:p>
        </w:tc>
        <w:tc>
          <w:tcPr>
            <w:tcW w:type="dxa" w:w="4320"/>
          </w:tcPr>
          <w:p>
            <w:r>
              <w:t>Valid Business Confidence</w:t>
            </w:r>
          </w:p>
        </w:tc>
      </w:tr>
      <w:tr>
        <w:tc>
          <w:tcPr>
            <w:tcW w:type="dxa" w:w="4320"/>
          </w:tcPr>
          <w:p>
            <w:r>
              <w:t>Resolved</w:t>
            </w:r>
          </w:p>
        </w:tc>
        <w:tc>
          <w:tcPr>
            <w:tcW w:type="dxa" w:w="4320"/>
          </w:tcPr>
          <w:p>
            <w:r>
              <w:t>High / Medium / Low</w:t>
            </w:r>
          </w:p>
        </w:tc>
      </w:tr>
      <w:tr>
        <w:tc>
          <w:tcPr>
            <w:tcW w:type="dxa" w:w="4320"/>
          </w:tcPr>
          <w:p>
            <w:r>
              <w:t>Possible Resolution</w:t>
            </w:r>
          </w:p>
        </w:tc>
        <w:tc>
          <w:tcPr>
            <w:tcW w:type="dxa" w:w="4320"/>
          </w:tcPr>
          <w:p>
            <w:r>
              <w:t>High / Medium / Low</w:t>
            </w:r>
          </w:p>
        </w:tc>
      </w:tr>
      <w:tr>
        <w:tc>
          <w:tcPr>
            <w:tcW w:type="dxa" w:w="4320"/>
          </w:tcPr>
          <w:p>
            <w:r>
              <w:t>Unresolved</w:t>
            </w:r>
          </w:p>
        </w:tc>
        <w:tc>
          <w:tcPr>
            <w:tcW w:type="dxa" w:w="4320"/>
          </w:tcPr>
          <w:p>
            <w:r>
              <w:t>High / Medium / Low</w:t>
            </w:r>
          </w:p>
        </w:tc>
      </w:tr>
    </w:tbl>
    <w:p>
      <w:r>
        <w:t>Example: An 'Unresolved' outcome with 'High' Business Confidence means the enterprise is highly confident that insufficient evidence currently exists to resolve the Enterprise Entity.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Summary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Frozen</w:t>
            </w:r>
          </w:p>
        </w:tc>
        <w:tc>
          <w:tcPr>
            <w:tcW w:type="dxa" w:w="2880"/>
          </w:tcPr>
          <w:p>
            <w:r>
              <w:t>Initial Business Capability Specification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Frozen</w:t>
            </w:r>
          </w:p>
        </w:tc>
        <w:tc>
          <w:tcPr>
            <w:tcW w:type="dxa" w:w="2880"/>
          </w:tcPr>
          <w:p>
            <w:r>
              <w:t>Clarified immutability, resolution record cardinality, and Business Confidence semantics</w:t>
            </w:r>
          </w:p>
        </w:tc>
      </w:tr>
    </w:tbl>
    <w:p>
      <w:pPr>
        <w:pStyle w:val="Heading1"/>
      </w:pPr>
      <w:r>
        <w:t>Resume Condition</w:t>
      </w:r>
    </w:p>
    <w:p>
      <w:r>
        <w:t>CDD-004 may proceed once ERM-001 Version 2.1 has been committed and frozen. This release resolves the business semantic ambiguities identified during the CDD-004 Architecture Clarification Review. No additional business clarification is required for Enterprise Entity Resolution.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