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ASM-001 — Assertion Business Capability Specification</w:t>
      </w:r>
    </w:p>
    <w:p>
      <w:pPr>
        <w:jc w:val="center"/>
      </w:pPr>
      <w:r>
        <w:rPr>
          <w:b/>
        </w:rPr>
        <w:t>Version 2.0</w:t>
        <w:br/>
      </w:r>
      <w:r>
        <w:t>Status: FROZEN</w:t>
        <w:br/>
      </w:r>
      <w:r>
        <w:t>Document Type: Business Capability Specification (BCS)</w:t>
        <w:br/>
      </w:r>
      <w:r>
        <w:t>Authoritative for: CDD-006</w:t>
        <w:br/>
      </w:r>
      <w:r>
        <w:t>Supersedes: ASM-001 v1.0</w:t>
        <w:br/>
      </w:r>
    </w:p>
    <w:p>
      <w:pPr>
        <w:pStyle w:val="Heading1"/>
      </w:pPr>
      <w:r>
        <w:t>1. Executive Summary</w:t>
      </w:r>
    </w:p>
    <w:p>
      <w:r>
        <w:t>Assertion is the third cognitive capability in CTEC. An Assertion is a governed proposition expressed using the Subject–Predicate–Object (SPO) model. Assertions are immutable business artifacts supported by governed evidence. They are not raw facts, business rules, or enterprise knowledge.</w:t>
      </w:r>
    </w:p>
    <w:p>
      <w:pPr>
        <w:pStyle w:val="Heading1"/>
      </w:pPr>
      <w:r>
        <w:t>2. Business Purpose</w:t>
      </w:r>
    </w:p>
    <w:p>
      <w:r>
        <w:t>Enterprise Entity Resolution establishes identity.</w:t>
      </w:r>
    </w:p>
    <w:p>
      <w:r>
        <w:t>Semantic Resolution establishes enterprise meaning.</w:t>
      </w:r>
    </w:p>
    <w:p>
      <w:r>
        <w:t>Assertion establishes governed propositions that the enterprise may later accept, reject, or institutionalize as knowledge.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Assertion Proposition</w:t>
      </w:r>
    </w:p>
    <w:p>
      <w:r>
        <w:t>• Assertion Evaluation</w:t>
      </w:r>
    </w:p>
    <w:p>
      <w:r>
        <w:t>• Assertion Outcome</w:t>
      </w:r>
    </w:p>
    <w:p>
      <w:r>
        <w:t>• Business Confidence Classification</w:t>
      </w:r>
    </w:p>
    <w:p>
      <w:r>
        <w:t>• Assertion Explanation</w:t>
      </w:r>
    </w:p>
    <w:p>
      <w:r>
        <w:t>• Assertion Record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Semantic Resolution</w:t>
      </w:r>
    </w:p>
    <w:p>
      <w:r>
        <w:t>• Knowledge</w:t>
      </w:r>
    </w:p>
    <w:p>
      <w:r>
        <w:t>• Decision</w:t>
      </w:r>
    </w:p>
    <w:p>
      <w:r>
        <w:t>• Business Rules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Principle</w:t>
            </w:r>
          </w:p>
        </w:tc>
      </w:tr>
      <w:tr>
        <w:tc>
          <w:tcPr>
            <w:tcW w:type="dxa" w:w="4320"/>
          </w:tcPr>
          <w:p>
            <w:r>
              <w:t>CP-AS-001</w:t>
            </w:r>
          </w:p>
        </w:tc>
        <w:tc>
          <w:tcPr>
            <w:tcW w:type="dxa" w:w="4320"/>
          </w:tcPr>
          <w:p>
            <w:r>
              <w:t>Every Assertion is a governed Subject–Predicate–Object proposition.</w:t>
            </w:r>
          </w:p>
        </w:tc>
      </w:tr>
      <w:tr>
        <w:tc>
          <w:tcPr>
            <w:tcW w:type="dxa" w:w="4320"/>
          </w:tcPr>
          <w:p>
            <w:r>
              <w:t>CP-AS-002</w:t>
            </w:r>
          </w:p>
        </w:tc>
        <w:tc>
          <w:tcPr>
            <w:tcW w:type="dxa" w:w="4320"/>
          </w:tcPr>
          <w:p>
            <w:r>
              <w:t>Assertions are immutable business artifacts.</w:t>
            </w:r>
          </w:p>
        </w:tc>
      </w:tr>
      <w:tr>
        <w:tc>
          <w:tcPr>
            <w:tcW w:type="dxa" w:w="4320"/>
          </w:tcPr>
          <w:p>
            <w:r>
              <w:t>CP-AS-003</w:t>
            </w:r>
          </w:p>
        </w:tc>
        <w:tc>
          <w:tcPr>
            <w:tcW w:type="dxa" w:w="4320"/>
          </w:tcPr>
          <w:p>
            <w:r>
              <w:t>Every Assertion shall be supported by governed evidence.</w:t>
            </w:r>
          </w:p>
        </w:tc>
      </w:tr>
      <w:tr>
        <w:tc>
          <w:tcPr>
            <w:tcW w:type="dxa" w:w="4320"/>
          </w:tcPr>
          <w:p>
            <w:r>
              <w:t>CP-AS-004</w:t>
            </w:r>
          </w:p>
        </w:tc>
        <w:tc>
          <w:tcPr>
            <w:tcW w:type="dxa" w:w="4320"/>
          </w:tcPr>
          <w:p>
            <w:r>
              <w:t>Business Confidence expresses confidence in the proposition, not algorithmic certainty.</w:t>
            </w:r>
          </w:p>
        </w:tc>
      </w:tr>
      <w:tr>
        <w:tc>
          <w:tcPr>
            <w:tcW w:type="dxa" w:w="4320"/>
          </w:tcPr>
          <w:p>
            <w:r>
              <w:t>CP-AS-005</w:t>
            </w:r>
          </w:p>
        </w:tc>
        <w:tc>
          <w:tcPr>
            <w:tcW w:type="dxa" w:w="4320"/>
          </w:tcPr>
          <w:p>
            <w:r>
              <w:t>Human override creates a new Assertion Record and never modifies an existing record.</w:t>
            </w:r>
          </w:p>
        </w:tc>
      </w:tr>
      <w:tr>
        <w:tc>
          <w:tcPr>
            <w:tcW w:type="dxa" w:w="4320"/>
          </w:tcPr>
          <w:p>
            <w:r>
              <w:t>CP-AS-006</w:t>
            </w:r>
          </w:p>
        </w:tc>
        <w:tc>
          <w:tcPr>
            <w:tcW w:type="dxa" w:w="4320"/>
          </w:tcPr>
          <w:p>
            <w:r>
              <w:t>Assertions are explainable, traceable, and independently auditable.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Referenced Enterprise Entity.</w:t>
            </w:r>
          </w:p>
        </w:tc>
      </w:tr>
      <w:tr>
        <w:tc>
          <w:tcPr>
            <w:tcW w:type="dxa" w:w="4320"/>
          </w:tcPr>
          <w:p>
            <w:r>
              <w:t>Predicate</w:t>
            </w:r>
          </w:p>
        </w:tc>
        <w:tc>
          <w:tcPr>
            <w:tcW w:type="dxa" w:w="4320"/>
          </w:tcPr>
          <w:p>
            <w:r>
              <w:t>Governed business relationship or verb.</w:t>
            </w:r>
          </w:p>
        </w:tc>
      </w:tr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Referenced Institutional Concept.</w:t>
            </w:r>
          </w:p>
        </w:tc>
      </w:tr>
      <w:tr>
        <w:tc>
          <w:tcPr>
            <w:tcW w:type="dxa" w:w="4320"/>
          </w:tcPr>
          <w:p>
            <w:r>
              <w:t>Assertion</w:t>
            </w:r>
          </w:p>
        </w:tc>
        <w:tc>
          <w:tcPr>
            <w:tcW w:type="dxa" w:w="4320"/>
          </w:tcPr>
          <w:p>
            <w:r>
              <w:t>A Subject–Predicate–Object proposition.</w:t>
            </w:r>
          </w:p>
        </w:tc>
      </w:tr>
      <w:tr>
        <w:tc>
          <w:tcPr>
            <w:tcW w:type="dxa" w:w="4320"/>
          </w:tcPr>
          <w:p>
            <w:r>
              <w:t>Assertion Record</w:t>
            </w:r>
          </w:p>
        </w:tc>
        <w:tc>
          <w:tcPr>
            <w:tcW w:type="dxa" w:w="4320"/>
          </w:tcPr>
          <w:p>
            <w:r>
              <w:t>Immutable business artifact representing one proposition.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Semantic Resolution Record.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Low.</w:t>
            </w:r>
          </w:p>
        </w:tc>
      </w:tr>
      <w:tr>
        <w:tc>
          <w:tcPr>
            <w:tcW w:type="dxa" w:w="4320"/>
          </w:tcPr>
          <w:p>
            <w:r>
              <w:t>Assertion Outcome</w:t>
            </w:r>
          </w:p>
        </w:tc>
        <w:tc>
          <w:tcPr>
            <w:tcW w:type="dxa" w:w="4320"/>
          </w:tcPr>
          <w:p>
            <w:r>
              <w:t>Established, Candidate or Rejected.</w:t>
            </w:r>
          </w:p>
        </w:tc>
      </w:tr>
    </w:tbl>
    <w:p>
      <w:pPr>
        <w:pStyle w:val="Heading1"/>
      </w:pPr>
      <w:r>
        <w:t>6. Inputs</w:t>
      </w:r>
    </w:p>
    <w:p>
      <w:r>
        <w:t>• Enterprise Entity</w:t>
      </w:r>
    </w:p>
    <w:p>
      <w:r>
        <w:t>• Enterprise Entity Resolution Record</w:t>
      </w:r>
    </w:p>
    <w:p>
      <w:r>
        <w:t>• Semantic Resolution Record</w:t>
      </w:r>
    </w:p>
    <w:p>
      <w:r>
        <w:t>• Business Policies</w:t>
      </w:r>
    </w:p>
    <w:p>
      <w:pPr>
        <w:pStyle w:val="Heading1"/>
      </w:pPr>
      <w:r>
        <w:t>7. Output</w:t>
      </w:r>
    </w:p>
    <w:p>
      <w:r>
        <w:t>• Assertion Record</w:t>
      </w:r>
    </w:p>
    <w:p>
      <w:pPr>
        <w:pStyle w:val="Heading1"/>
      </w:pPr>
      <w:r>
        <w:t>8. Assertion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Attribute</w:t>
            </w:r>
          </w:p>
        </w:tc>
        <w:tc>
          <w:tcPr>
            <w:tcW w:type="dxa" w:w="4320"/>
          </w:tcPr>
          <w:p>
            <w:r>
              <w:t>Business Definition</w:t>
            </w:r>
          </w:p>
        </w:tc>
      </w:tr>
      <w:tr>
        <w:tc>
          <w:tcPr>
            <w:tcW w:type="dxa" w:w="4320"/>
          </w:tcPr>
          <w:p>
            <w:r>
              <w:t>Record Identifier</w:t>
            </w:r>
          </w:p>
        </w:tc>
        <w:tc>
          <w:tcPr>
            <w:tcW w:type="dxa" w:w="4320"/>
          </w:tcPr>
          <w:p>
            <w:r>
              <w:t>Unique immutable identifier.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Exactly one Enterprise Entity.</w:t>
            </w:r>
          </w:p>
        </w:tc>
      </w:tr>
      <w:tr>
        <w:tc>
          <w:tcPr>
            <w:tcW w:type="dxa" w:w="4320"/>
          </w:tcPr>
          <w:p>
            <w:r>
              <w:t>Predicate</w:t>
            </w:r>
          </w:p>
        </w:tc>
        <w:tc>
          <w:tcPr>
            <w:tcW w:type="dxa" w:w="4320"/>
          </w:tcPr>
          <w:p>
            <w:r>
              <w:t>Exactly one governed relationship.</w:t>
            </w:r>
          </w:p>
        </w:tc>
      </w:tr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Exactly one Institutional Concept.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Exactly one governed Context.</w:t>
            </w:r>
          </w:p>
        </w:tc>
      </w:tr>
      <w:tr>
        <w:tc>
          <w:tcPr>
            <w:tcW w:type="dxa" w:w="4320"/>
          </w:tcPr>
          <w:p>
            <w:r>
              <w:t>Assertion Outcome</w:t>
            </w:r>
          </w:p>
        </w:tc>
        <w:tc>
          <w:tcPr>
            <w:tcW w:type="dxa" w:w="4320"/>
          </w:tcPr>
          <w:p>
            <w:r>
              <w:t>Established, Candidate or Rejected.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High, Medium or Low.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Semantic Resolution Record. Both shall reference the same Enterprise Entity represented by the Subject.</w:t>
            </w:r>
          </w:p>
        </w:tc>
      </w:tr>
      <w:tr>
        <w:tc>
          <w:tcPr>
            <w:tcW w:type="dxa" w:w="4320"/>
          </w:tcPr>
          <w:p>
            <w:r>
              <w:t>Assertion Explanation</w:t>
            </w:r>
          </w:p>
        </w:tc>
        <w:tc>
          <w:tcPr>
            <w:tcW w:type="dxa" w:w="4320"/>
          </w:tcPr>
          <w:p>
            <w:r>
              <w:t>Structured reasons and narrative.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Business policy version.</w:t>
            </w:r>
          </w:p>
        </w:tc>
      </w:tr>
      <w:tr>
        <w:tc>
          <w:tcPr>
            <w:tcW w:type="dxa" w:w="4320"/>
          </w:tcPr>
          <w:p>
            <w:r>
              <w:t>Produced Timestamp</w:t>
            </w:r>
          </w:p>
        </w:tc>
        <w:tc>
          <w:tcPr>
            <w:tcW w:type="dxa" w:w="4320"/>
          </w:tcPr>
          <w:p>
            <w:r>
              <w:t>Creation timestamp.</w:t>
            </w:r>
          </w:p>
        </w:tc>
      </w:tr>
    </w:tbl>
    <w:p>
      <w:pPr>
        <w:pStyle w:val="Heading1"/>
      </w:pPr>
      <w:r>
        <w:t>9. Outcome Rules</w:t>
      </w:r>
    </w:p>
    <w:p>
      <w:r>
        <w:t>Established: Exactly one Subject–Predicate–Object proposition is accepted.</w:t>
      </w:r>
    </w:p>
    <w:p>
      <w:r>
        <w:t>Candidate: One or more candidate Assertion propositions may exist. Each candidate is represented by its own Assertion Record.</w:t>
      </w:r>
    </w:p>
    <w:p>
      <w:r>
        <w:t>Rejected: The rejected proposition is preserved together with its supporting evidence for audit purposes.</w:t>
      </w:r>
    </w:p>
    <w:p>
      <w:r>
        <w:t>Business Confidence is independent of Assertion Outcome.</w:t>
      </w:r>
    </w:p>
    <w:p>
      <w:pPr>
        <w:pStyle w:val="Heading1"/>
      </w:pPr>
      <w:r>
        <w:t>10. Assertion Identity</w:t>
      </w:r>
    </w:p>
    <w:p>
      <w:r>
        <w:t>An Assertion is uniquely identified by the combination of Subject, Predicate, Object and Business Context.</w:t>
      </w:r>
    </w:p>
    <w:p>
      <w:r>
        <w:t>Only one active Assertion Record may exist for the same Assertion identity.</w:t>
      </w:r>
    </w:p>
    <w:p>
      <w:r>
        <w:t>History is maintained outside immutable Assertion Records.</w:t>
      </w:r>
    </w:p>
    <w:p>
      <w:pPr>
        <w:pStyle w:val="Heading1"/>
      </w:pPr>
      <w:r>
        <w:t>11. Human Override</w:t>
      </w:r>
    </w:p>
    <w:p>
      <w:r>
        <w:t>Authorized users may override Assertion Outcome and Business Confidence by creating a new Assertion Record.</w:t>
      </w:r>
    </w:p>
    <w:p>
      <w:r>
        <w:t>Subject, Predicate and Object are immutable within an Assertion Record. A changed proposition requires a new Assertion Record.</w:t>
      </w:r>
    </w:p>
    <w:p>
      <w:pPr>
        <w:pStyle w:val="Heading1"/>
      </w:pPr>
      <w:r>
        <w:t>12. Illustrative Examples</w:t>
      </w:r>
    </w:p>
    <w:p>
      <w:r>
        <w:t>Subject: Supplier ABC</w:t>
      </w:r>
    </w:p>
    <w:p>
      <w:r>
        <w:t>Predicate: is</w:t>
      </w:r>
    </w:p>
    <w:p>
      <w:r>
        <w:t>Object: Strategic Supplier</w:t>
      </w:r>
    </w:p>
    <w:p>
      <w:r>
        <w:t>Context: Supply Chain</w:t>
      </w:r>
    </w:p>
    <w:p>
      <w:r>
        <w:t>Proposition: Supplier ABC is a Strategic Supplier</w:t>
      </w:r>
    </w:p>
    <w:p>
      <w:pPr>
        <w:pStyle w:val="Heading1"/>
      </w:pPr>
      <w:r>
        <w:t>13. Relationship to Other Capabilities</w:t>
      </w:r>
    </w:p>
    <w:p>
      <w:r>
        <w:t>Consumes Enterprise Entity Resolution Records and Semantic Resolution Records.</w:t>
      </w:r>
    </w:p>
    <w:p>
      <w:r>
        <w:t>Produces Assertion Records consumed by the Knowledge capability.</w:t>
      </w:r>
    </w:p>
    <w:p>
      <w:pPr>
        <w:pStyle w:val="Heading1"/>
      </w:pPr>
      <w:r>
        <w:t>14. Success Criteria</w:t>
      </w:r>
    </w:p>
    <w:p>
      <w:r>
        <w:t>Assertions are represented as governed Subject–Predicate–Object propositions, supported by governed evidence, explainable, historically preserved and independent of implementation technology.</w:t>
      </w:r>
    </w:p>
    <w:p>
      <w:pPr>
        <w:pStyle w:val="Heading1"/>
      </w:pPr>
      <w:r>
        <w:t>15. Traceability</w:t>
      </w:r>
    </w:p>
    <w:p>
      <w:r>
        <w:t>• EAH-001</w:t>
      </w:r>
    </w:p>
    <w:p>
      <w:r>
        <w:t>• RFC-010</w:t>
      </w:r>
    </w:p>
    <w:p>
      <w:r>
        <w:t>• CDD-003 Revision 2</w:t>
      </w:r>
    </w:p>
    <w:p>
      <w:r>
        <w:t>• ERM-001 v2.1</w:t>
      </w:r>
    </w:p>
    <w:p>
      <w:r>
        <w:t>• SRM-001 v2.1</w:t>
      </w:r>
    </w:p>
    <w:p>
      <w:r>
        <w:t>• ASM-001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