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CDS-001 — Codex Development Standard</w:t>
      </w:r>
    </w:p>
    <w:p>
      <w:pPr>
        <w:jc w:val="center"/>
      </w:pPr>
      <w:r>
        <w:rPr>
          <w:b/>
        </w:rPr>
        <w:t>Version 1.2</w:t>
        <w:br/>
      </w:r>
      <w:r>
        <w:t>Status: FROZEN</w:t>
        <w:br/>
      </w:r>
      <w:r>
        <w:t>Supersedes: Previous CDS-001 where conflicts exist</w:t>
        <w:br/>
      </w:r>
    </w:p>
    <w:p>
      <w:pPr>
        <w:pStyle w:val="Heading1"/>
      </w:pPr>
      <w:r>
        <w:t>1. Purpose</w:t>
      </w:r>
    </w:p>
    <w:p>
      <w:r>
        <w:t>CDS-001 defines the constitutional engineering standard for all implementation work in CTEC. It establishes the responsibility boundary between architecture, business capability specifications, implementation work orders, and software.</w:t>
      </w:r>
    </w:p>
    <w:p>
      <w:pPr>
        <w:pStyle w:val="Heading1"/>
      </w:pPr>
      <w:r>
        <w:t>2. Authoritative Hierarchy</w:t>
      </w:r>
    </w:p>
    <w:p>
      <w:r>
        <w:t>1. EAH-001 — ECOM Architecture Handbook</w:t>
      </w:r>
    </w:p>
    <w:p>
      <w:r>
        <w:t>2. RFCs — Architecture Decisions</w:t>
      </w:r>
    </w:p>
    <w:p>
      <w:r>
        <w:t>3. Canonical Enterprise Ontology (CEO)</w:t>
      </w:r>
    </w:p>
    <w:p>
      <w:r>
        <w:t>4. Business Capability Specification (BCS) (e.g., ERM-001)</w:t>
      </w:r>
    </w:p>
    <w:p>
      <w:r>
        <w:t>5. CDD — Codex Development Document</w:t>
      </w:r>
    </w:p>
    <w:p>
      <w:r>
        <w:t>6. Implementation Code</w:t>
      </w:r>
    </w:p>
    <w:p>
      <w:pPr>
        <w:pStyle w:val="Heading1"/>
      </w:pPr>
      <w:r>
        <w:t>3. Ownership Model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Layer</w:t>
            </w:r>
          </w:p>
        </w:tc>
        <w:tc>
          <w:tcPr>
            <w:tcW w:type="dxa" w:w="4320"/>
          </w:tcPr>
          <w:p>
            <w:r>
              <w:t>Owns</w:t>
            </w:r>
          </w:p>
        </w:tc>
      </w:tr>
      <w:tr>
        <w:tc>
          <w:tcPr>
            <w:tcW w:type="dxa" w:w="4320"/>
          </w:tcPr>
          <w:p>
            <w:r>
              <w:t>EAH</w:t>
            </w:r>
          </w:p>
        </w:tc>
        <w:tc>
          <w:tcPr>
            <w:tcW w:type="dxa" w:w="4320"/>
          </w:tcPr>
          <w:p>
            <w:r>
              <w:t>Overall architecture</w:t>
            </w:r>
          </w:p>
        </w:tc>
      </w:tr>
      <w:tr>
        <w:tc>
          <w:tcPr>
            <w:tcW w:type="dxa" w:w="4320"/>
          </w:tcPr>
          <w:p>
            <w:r>
              <w:t>RFC</w:t>
            </w:r>
          </w:p>
        </w:tc>
        <w:tc>
          <w:tcPr>
            <w:tcW w:type="dxa" w:w="4320"/>
          </w:tcPr>
          <w:p>
            <w:r>
              <w:t>Architectural decisions and boundaries</w:t>
            </w:r>
          </w:p>
        </w:tc>
      </w:tr>
      <w:tr>
        <w:tc>
          <w:tcPr>
            <w:tcW w:type="dxa" w:w="4320"/>
          </w:tcPr>
          <w:p>
            <w:r>
              <w:t>CEO</w:t>
            </w:r>
          </w:p>
        </w:tc>
        <w:tc>
          <w:tcPr>
            <w:tcW w:type="dxa" w:w="4320"/>
          </w:tcPr>
          <w:p>
            <w:r>
              <w:t>Canonical business entities, relationships and attributes</w:t>
            </w:r>
          </w:p>
        </w:tc>
      </w:tr>
      <w:tr>
        <w:tc>
          <w:tcPr>
            <w:tcW w:type="dxa" w:w="4320"/>
          </w:tcPr>
          <w:p>
            <w:r>
              <w:t>Business Capability Specification</w:t>
            </w:r>
          </w:p>
        </w:tc>
        <w:tc>
          <w:tcPr>
            <w:tcW w:type="dxa" w:w="4320"/>
          </w:tcPr>
          <w:p>
            <w:r>
              <w:t>Business vocabulary, semantics, principles, business artifacts, lifecycle, business rules, capability boundaries</w:t>
            </w:r>
          </w:p>
        </w:tc>
      </w:tr>
      <w:tr>
        <w:tc>
          <w:tcPr>
            <w:tcW w:type="dxa" w:w="4320"/>
          </w:tcPr>
          <w:p>
            <w:r>
              <w:t>CDD</w:t>
            </w:r>
          </w:p>
        </w:tc>
        <w:tc>
          <w:tcPr>
            <w:tcW w:type="dxa" w:w="4320"/>
          </w:tcPr>
          <w:p>
            <w:r>
              <w:t>Implementation scope, engineering constraints, testing, deliverables, architecture validation</w:t>
            </w:r>
          </w:p>
        </w:tc>
      </w:tr>
      <w:tr>
        <w:tc>
          <w:tcPr>
            <w:tcW w:type="dxa" w:w="4320"/>
          </w:tcPr>
          <w:p>
            <w:r>
              <w:t>Code</w:t>
            </w:r>
          </w:p>
        </w:tc>
        <w:tc>
          <w:tcPr>
            <w:tcW w:type="dxa" w:w="4320"/>
          </w:tcPr>
          <w:p>
            <w:r>
              <w:t>Runtime behavior</w:t>
            </w:r>
          </w:p>
        </w:tc>
      </w:tr>
    </w:tbl>
    <w:p>
      <w:pPr>
        <w:pStyle w:val="Heading1"/>
      </w:pPr>
      <w:r>
        <w:t>4. Business Capability Specification (BCS)</w:t>
      </w:r>
    </w:p>
    <w:p>
      <w:r>
        <w:t>Each cognitive capability SHALL have a Business Capability Specification before implementation begins.</w:t>
      </w:r>
    </w:p>
    <w:p>
      <w:r>
        <w:t>Examples include ERM-001, future SRM-001, ASM-001, KRM-001, DRM-001 and GRM-001.</w:t>
      </w:r>
    </w:p>
    <w:p>
      <w:r>
        <w:t>A BCS is the sole authority for business vocabulary, business artifacts, lifecycle, business semantics and business boundaries.</w:t>
      </w:r>
    </w:p>
    <w:p>
      <w:pPr>
        <w:pStyle w:val="Heading1"/>
      </w:pPr>
      <w:r>
        <w:t>5. CDD Responsibilities</w:t>
      </w:r>
    </w:p>
    <w:p>
      <w:r>
        <w:t>A CDD is an implementation work order. It SHALL NOT redefine architecture or business semantics.</w:t>
      </w:r>
    </w:p>
    <w:p>
      <w:pPr>
        <w:pStyle w:val="Heading2"/>
      </w:pPr>
      <w:r>
        <w:t>CDD SHALL</w:t>
      </w:r>
    </w:p>
    <w:p>
      <w:r>
        <w:t>• Reference the authoritative Business Capability Specification.</w:t>
      </w:r>
    </w:p>
    <w:p>
      <w:r>
        <w:t>• Define implementation scope.</w:t>
      </w:r>
    </w:p>
    <w:p>
      <w:r>
        <w:t>• Define engineering constraints.</w:t>
      </w:r>
    </w:p>
    <w:p>
      <w:r>
        <w:t>• Define implementation validation.</w:t>
      </w:r>
    </w:p>
    <w:p>
      <w:r>
        <w:t>• Define engineering deliverables.</w:t>
      </w:r>
    </w:p>
    <w:p>
      <w:r>
        <w:t>• Perform architecture drift checks.</w:t>
      </w:r>
    </w:p>
    <w:p>
      <w:pPr>
        <w:pStyle w:val="Heading2"/>
      </w:pPr>
      <w:r>
        <w:t>CDD SHALL NOT</w:t>
      </w:r>
    </w:p>
    <w:p>
      <w:r>
        <w:t>• Redefine business vocabulary.</w:t>
      </w:r>
    </w:p>
    <w:p>
      <w:r>
        <w:t>• Redefine business artifacts.</w:t>
      </w:r>
    </w:p>
    <w:p>
      <w:r>
        <w:t>• Redefine business principles.</w:t>
      </w:r>
    </w:p>
    <w:p>
      <w:r>
        <w:t>• Modify the Canonical Enterprise Ontology.</w:t>
      </w:r>
    </w:p>
    <w:p>
      <w:r>
        <w:t>• Modify EAD-001.</w:t>
      </w:r>
    </w:p>
    <w:p>
      <w:r>
        <w:t>• Duplicate Business Capability Specification content.</w:t>
      </w:r>
    </w:p>
    <w:p>
      <w:pPr>
        <w:pStyle w:val="Heading1"/>
      </w:pPr>
      <w:r>
        <w:t>6. Authorized Business Capability</w:t>
      </w:r>
    </w:p>
    <w:p>
      <w:r>
        <w:t>Every CDD SHALL contain an 'Authorized Business Capability' section identifying the Business Capability Specification it implements.</w:t>
      </w:r>
    </w:p>
    <w:p>
      <w:r>
        <w:t>Example:</w:t>
      </w:r>
    </w:p>
    <w:p>
      <w:r>
        <w:t>Authorized Business Capability: ERM-001 v2.0</w:t>
      </w:r>
    </w:p>
    <w:p>
      <w:r>
        <w:t>No additional business concepts may be introduced without revising the authoritative Business Capability Specification.</w:t>
      </w:r>
    </w:p>
    <w:p>
      <w:pPr>
        <w:pStyle w:val="Heading1"/>
      </w:pPr>
      <w:r>
        <w:t>7. Engineering Authority</w:t>
      </w:r>
    </w:p>
    <w:p>
      <w:r>
        <w:t>Engineering owns implementation decisions provided they do not alter business semantics.</w:t>
      </w:r>
    </w:p>
    <w:p>
      <w:r>
        <w:t>• Project structure</w:t>
      </w:r>
    </w:p>
    <w:p>
      <w:r>
        <w:t>• Classes</w:t>
      </w:r>
    </w:p>
    <w:p>
      <w:r>
        <w:t>• Interfaces</w:t>
      </w:r>
    </w:p>
    <w:p>
      <w:r>
        <w:t>• Repositories</w:t>
      </w:r>
    </w:p>
    <w:p>
      <w:r>
        <w:t>• Services</w:t>
      </w:r>
    </w:p>
    <w:p>
      <w:r>
        <w:t>• Internal models</w:t>
      </w:r>
    </w:p>
    <w:p>
      <w:r>
        <w:t>• DTOs</w:t>
      </w:r>
    </w:p>
    <w:p>
      <w:r>
        <w:t>• Algorithms</w:t>
      </w:r>
    </w:p>
    <w:p>
      <w:r>
        <w:t>• Persistence implementation</w:t>
      </w:r>
    </w:p>
    <w:p>
      <w:r>
        <w:t>• Configuration implementation</w:t>
      </w:r>
    </w:p>
    <w:p>
      <w:r>
        <w:t>• Logging</w:t>
      </w:r>
    </w:p>
    <w:p>
      <w:r>
        <w:t>• Caching</w:t>
      </w:r>
    </w:p>
    <w:p>
      <w:r>
        <w:t>• Dependency injection</w:t>
      </w:r>
    </w:p>
    <w:p>
      <w:r>
        <w:t>• Performance optimization</w:t>
      </w:r>
    </w:p>
    <w:p>
      <w:r>
        <w:t>• API implementation</w:t>
      </w:r>
    </w:p>
    <w:p>
      <w:pPr>
        <w:pStyle w:val="Heading1"/>
      </w:pPr>
      <w:r>
        <w:t>8. Externally Visible Contracts</w:t>
      </w:r>
    </w:p>
    <w:p>
      <w:r>
        <w:t>Engineering may define APIs, repository interfaces, integration interfaces, events and DTOs as implementation artifacts. These are not canonical business artifacts unless explicitly promoted through architecture governance.</w:t>
      </w:r>
    </w:p>
    <w:p>
      <w:pPr>
        <w:pStyle w:val="Heading1"/>
      </w:pPr>
      <w:r>
        <w:t>9. Persistence</w:t>
      </w:r>
    </w:p>
    <w:p>
      <w:r>
        <w:t>Business Capability Specifications define business meaning. Engineering defines physical persistence. CDDs shall require persistence where needed but shall not redefine business semantics.</w:t>
      </w:r>
    </w:p>
    <w:p>
      <w:pPr>
        <w:pStyle w:val="Heading1"/>
      </w:pPr>
      <w:r>
        <w:t>10. Architecture Drift Validation</w:t>
      </w:r>
    </w:p>
    <w:p>
      <w:r>
        <w:t>☐ No EAH violation</w:t>
      </w:r>
    </w:p>
    <w:p>
      <w:r>
        <w:t>☐ No RFC violation</w:t>
      </w:r>
    </w:p>
    <w:p>
      <w:r>
        <w:t>☐ No CEO modification</w:t>
      </w:r>
    </w:p>
    <w:p>
      <w:r>
        <w:t>☐ No EAD modification</w:t>
      </w:r>
    </w:p>
    <w:p>
      <w:r>
        <w:t>☐ No Business Capability Specification modification</w:t>
      </w:r>
    </w:p>
    <w:p>
      <w:r>
        <w:t>☐ No unauthorized business concepts introduced</w:t>
      </w:r>
    </w:p>
    <w:p>
      <w:pPr>
        <w:pStyle w:val="Heading1"/>
      </w:pPr>
      <w:r>
        <w:t>11. Guiding Principle</w:t>
      </w:r>
    </w:p>
    <w:p>
      <w:r>
        <w:t>Architecture defines "WHAT the enterprise means."</w:t>
      </w:r>
    </w:p>
    <w:p>
      <w:r>
        <w:t>Engineering defines "HOW the software works."</w:t>
      </w:r>
    </w:p>
    <w:p>
      <w:pPr>
        <w:pStyle w:val="Heading1"/>
      </w:pPr>
      <w:r>
        <w:t>12. Applicability</w:t>
      </w:r>
    </w:p>
    <w:p>
      <w:r>
        <w:t>This standard applies to CDD-004 and all future implementation work.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