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EAH-001 — ECOM Architecture Handbook</w:t>
      </w:r>
    </w:p>
    <w:p>
      <w:pPr>
        <w:jc w:val="center"/>
      </w:pPr>
      <w:r>
        <w:rPr>
          <w:b/>
        </w:rPr>
        <w:t>Version 1.2</w:t>
      </w:r>
      <w:r>
        <w:br/>
        <w:t>Status: FROZEN</w:t>
        <w:br/>
        <w:t>Authority: CONSTITUTIONAL ARCHITECTURE DOCUMENT</w:t>
        <w:br/>
        <w:t>Release Type: Clarification Release</w:t>
        <w:br/>
        <w:t>Supersedes: EAH-001 v1.1</w:t>
      </w:r>
    </w:p>
    <w:p>
      <w:pPr>
        <w:pStyle w:val="Heading1"/>
      </w:pPr>
      <w:r>
        <w:t>Revision History</w:t>
      </w:r>
    </w:p>
    <w:tbl>
      <w:tblPr>
        <w:tblStyle w:val="TableGrid"/>
        <w:tblW w:type="dxa" w:w="8640"/>
        <w:jc w:val="left"/>
        <w:tblLayout w:type="fixed"/>
        <w:tblLook w:firstColumn="1" w:firstRow="1" w:lastColumn="0" w:lastRow="0" w:noHBand="0" w:noVBand="1" w:val="04A0"/>
      </w:tblPr>
      <w:tblGrid>
        <w:gridCol w:w="1050"/>
        <w:gridCol w:w="1450"/>
        <w:gridCol w:w="1600"/>
        <w:gridCol w:w="4540"/>
      </w:tblGrid>
      <w:tr>
        <w:trPr>
          <w:cantSplit/>
          <w:tblHeader w:val="true"/>
        </w:trPr>
        <w:tc>
          <w:tcPr>
            <w:tcW w:type="dxa" w:w="1050"/>
            <w:vAlign w:val="center"/>
            <w:tcMar>
              <w:top w:w="70" w:type="dxa"/>
              <w:bottom w:w="70" w:type="dxa"/>
              <w:start w:w="100" w:type="dxa"/>
              <w:end w:w="100" w:type="dxa"/>
            </w:tcMar>
            <w:shd w:fill="D9EAF7"/>
          </w:tcPr>
          <w:p>
            <w:pPr>
              <w:spacing w:before="0" w:after="0" w:line="252" w:lineRule="auto"/>
            </w:pPr>
            <w:r>
              <w:rPr>
                <w:b/>
                <w:color w:val="1F4E79"/>
                <w:sz w:val="17"/>
              </w:rPr>
              <w:t>Version</w:t>
            </w:r>
          </w:p>
        </w:tc>
        <w:tc>
          <w:tcPr>
            <w:tcW w:type="dxa" w:w="1450"/>
            <w:vAlign w:val="center"/>
            <w:tcMar>
              <w:top w:w="70" w:type="dxa"/>
              <w:bottom w:w="70" w:type="dxa"/>
              <w:start w:w="100" w:type="dxa"/>
              <w:end w:w="100" w:type="dxa"/>
            </w:tcMar>
            <w:shd w:fill="D9EAF7"/>
          </w:tcPr>
          <w:p>
            <w:pPr>
              <w:spacing w:before="0" w:after="0" w:line="252" w:lineRule="auto"/>
            </w:pPr>
            <w:r>
              <w:rPr>
                <w:b/>
                <w:color w:val="1F4E79"/>
                <w:sz w:val="17"/>
              </w:rPr>
              <w:t>Status</w:t>
            </w:r>
          </w:p>
        </w:tc>
        <w:tc>
          <w:tcPr>
            <w:tcW w:type="dxa" w:w="1600"/>
            <w:vAlign w:val="center"/>
            <w:tcMar>
              <w:top w:w="70" w:type="dxa"/>
              <w:bottom w:w="70" w:type="dxa"/>
              <w:start w:w="100" w:type="dxa"/>
              <w:end w:w="100" w:type="dxa"/>
            </w:tcMar>
            <w:shd w:fill="D9EAF7"/>
          </w:tcPr>
          <w:p>
            <w:pPr>
              <w:spacing w:before="0" w:after="0" w:line="252" w:lineRule="auto"/>
            </w:pPr>
            <w:r>
              <w:rPr>
                <w:b/>
                <w:color w:val="1F4E79"/>
                <w:sz w:val="17"/>
              </w:rPr>
              <w:t>Release</w:t>
            </w:r>
          </w:p>
        </w:tc>
        <w:tc>
          <w:tcPr>
            <w:tcW w:type="dxa" w:w="4540"/>
            <w:vAlign w:val="center"/>
            <w:tcMar>
              <w:top w:w="70" w:type="dxa"/>
              <w:bottom w:w="70" w:type="dxa"/>
              <w:start w:w="100" w:type="dxa"/>
              <w:end w:w="100" w:type="dxa"/>
            </w:tcMar>
            <w:shd w:fill="D9EAF7"/>
          </w:tcPr>
          <w:p>
            <w:pPr>
              <w:spacing w:before="0" w:after="0" w:line="252" w:lineRule="auto"/>
            </w:pPr>
            <w:r>
              <w:rPr>
                <w:b/>
                <w:color w:val="1F4E79"/>
                <w:sz w:val="17"/>
              </w:rPr>
              <w:t>Notes</w:t>
            </w:r>
          </w:p>
        </w:tc>
      </w:tr>
      <w:tr>
        <w:trPr>
          <w:cantSplit/>
        </w:trPr>
        <w:tc>
          <w:tcPr>
            <w:tcW w:type="dxa" w:w="1050"/>
            <w:vAlign w:val="center"/>
            <w:tcMar>
              <w:top w:w="70" w:type="dxa"/>
              <w:bottom w:w="70" w:type="dxa"/>
              <w:start w:w="100" w:type="dxa"/>
              <w:end w:w="100" w:type="dxa"/>
            </w:tcMar>
          </w:tcPr>
          <w:p>
            <w:pPr>
              <w:spacing w:before="0" w:after="0" w:line="252" w:lineRule="auto"/>
            </w:pPr>
            <w:r>
              <w:rPr>
                <w:sz w:val="17"/>
              </w:rPr>
              <w:t>1.2</w:t>
            </w:r>
          </w:p>
        </w:tc>
        <w:tc>
          <w:tcPr>
            <w:tcW w:type="dxa" w:w="1450"/>
            <w:vAlign w:val="center"/>
            <w:tcMar>
              <w:top w:w="70" w:type="dxa"/>
              <w:bottom w:w="70" w:type="dxa"/>
              <w:start w:w="100" w:type="dxa"/>
              <w:end w:w="100" w:type="dxa"/>
            </w:tcMar>
          </w:tcPr>
          <w:p>
            <w:pPr>
              <w:spacing w:before="0" w:after="0" w:line="252" w:lineRule="auto"/>
            </w:pPr>
            <w:r>
              <w:rPr>
                <w:sz w:val="17"/>
              </w:rPr>
              <w:t>FROZEN</w:t>
            </w:r>
          </w:p>
        </w:tc>
        <w:tc>
          <w:tcPr>
            <w:tcW w:type="dxa" w:w="1600"/>
            <w:vAlign w:val="center"/>
            <w:tcMar>
              <w:top w:w="70" w:type="dxa"/>
              <w:bottom w:w="70" w:type="dxa"/>
              <w:start w:w="100" w:type="dxa"/>
              <w:end w:w="100" w:type="dxa"/>
            </w:tcMar>
          </w:tcPr>
          <w:p>
            <w:pPr>
              <w:spacing w:before="0" w:after="0" w:line="252" w:lineRule="auto"/>
            </w:pPr>
            <w:r>
              <w:rPr>
                <w:sz w:val="17"/>
              </w:rPr>
              <w:t>Clarification</w:t>
            </w:r>
          </w:p>
        </w:tc>
        <w:tc>
          <w:tcPr>
            <w:tcW w:type="dxa" w:w="4540"/>
            <w:vAlign w:val="center"/>
            <w:tcMar>
              <w:top w:w="70" w:type="dxa"/>
              <w:bottom w:w="70" w:type="dxa"/>
              <w:start w:w="100" w:type="dxa"/>
              <w:end w:w="100" w:type="dxa"/>
            </w:tcMar>
          </w:tcPr>
          <w:p>
            <w:pPr>
              <w:spacing w:before="0" w:after="0" w:line="252" w:lineRule="auto"/>
            </w:pPr>
            <w:r>
              <w:rPr>
                <w:sz w:val="17"/>
              </w:rPr>
              <w:t>Aligned to the current Architecture Registry, approved capability chain, runtime trilogy, RFC-013 governance boundary, and current governing artifacts.</w:t>
            </w:r>
          </w:p>
        </w:tc>
      </w:tr>
      <w:tr>
        <w:trPr>
          <w:cantSplit/>
        </w:trPr>
        <w:tc>
          <w:tcPr>
            <w:tcW w:type="dxa" w:w="1050"/>
            <w:vAlign w:val="center"/>
            <w:tcMar>
              <w:top w:w="70" w:type="dxa"/>
              <w:bottom w:w="70" w:type="dxa"/>
              <w:start w:w="100" w:type="dxa"/>
              <w:end w:w="100" w:type="dxa"/>
            </w:tcMar>
          </w:tcPr>
          <w:p>
            <w:pPr>
              <w:spacing w:before="0" w:after="0" w:line="252" w:lineRule="auto"/>
            </w:pPr>
            <w:r>
              <w:rPr>
                <w:sz w:val="17"/>
              </w:rPr>
              <w:t>1.1</w:t>
            </w:r>
          </w:p>
        </w:tc>
        <w:tc>
          <w:tcPr>
            <w:tcW w:type="dxa" w:w="1450"/>
            <w:vAlign w:val="center"/>
            <w:tcMar>
              <w:top w:w="70" w:type="dxa"/>
              <w:bottom w:w="70" w:type="dxa"/>
              <w:start w:w="100" w:type="dxa"/>
              <w:end w:w="100" w:type="dxa"/>
            </w:tcMar>
          </w:tcPr>
          <w:p>
            <w:pPr>
              <w:spacing w:before="0" w:after="0" w:line="252" w:lineRule="auto"/>
            </w:pPr>
            <w:r>
              <w:rPr>
                <w:sz w:val="17"/>
              </w:rPr>
              <w:t>SUPERSEDED</w:t>
            </w:r>
          </w:p>
        </w:tc>
        <w:tc>
          <w:tcPr>
            <w:tcW w:type="dxa" w:w="1600"/>
            <w:vAlign w:val="center"/>
            <w:tcMar>
              <w:top w:w="70" w:type="dxa"/>
              <w:bottom w:w="70" w:type="dxa"/>
              <w:start w:w="100" w:type="dxa"/>
              <w:end w:w="100" w:type="dxa"/>
            </w:tcMar>
          </w:tcPr>
          <w:p>
            <w:pPr>
              <w:spacing w:before="0" w:after="0" w:line="252" w:lineRule="auto"/>
            </w:pPr>
            <w:r>
              <w:rPr>
                <w:sz w:val="17"/>
              </w:rPr>
              <w:t>Foundation</w:t>
            </w:r>
          </w:p>
        </w:tc>
        <w:tc>
          <w:tcPr>
            <w:tcW w:type="dxa" w:w="4540"/>
            <w:vAlign w:val="center"/>
            <w:tcMar>
              <w:top w:w="70" w:type="dxa"/>
              <w:bottom w:w="70" w:type="dxa"/>
              <w:start w:w="100" w:type="dxa"/>
              <w:end w:w="100" w:type="dxa"/>
            </w:tcMar>
          </w:tcPr>
          <w:p>
            <w:pPr>
              <w:spacing w:before="0" w:after="0" w:line="252" w:lineRule="auto"/>
            </w:pPr>
            <w:r>
              <w:rPr>
                <w:sz w:val="17"/>
              </w:rPr>
              <w:t>Business Capability Model layer added to the constitutional document hierarchy.</w:t>
            </w:r>
          </w:p>
        </w:tc>
      </w:tr>
      <w:tr>
        <w:trPr>
          <w:cantSplit/>
        </w:trPr>
        <w:tc>
          <w:tcPr>
            <w:tcW w:type="dxa" w:w="1050"/>
            <w:vAlign w:val="center"/>
            <w:tcMar>
              <w:top w:w="70" w:type="dxa"/>
              <w:bottom w:w="70" w:type="dxa"/>
              <w:start w:w="100" w:type="dxa"/>
              <w:end w:w="100" w:type="dxa"/>
            </w:tcMar>
          </w:tcPr>
          <w:p>
            <w:pPr>
              <w:spacing w:before="0" w:after="0" w:line="252" w:lineRule="auto"/>
            </w:pPr>
            <w:r>
              <w:rPr>
                <w:sz w:val="17"/>
              </w:rPr>
              <w:t>1.0</w:t>
            </w:r>
          </w:p>
        </w:tc>
        <w:tc>
          <w:tcPr>
            <w:tcW w:type="dxa" w:w="1450"/>
            <w:vAlign w:val="center"/>
            <w:tcMar>
              <w:top w:w="70" w:type="dxa"/>
              <w:bottom w:w="70" w:type="dxa"/>
              <w:start w:w="100" w:type="dxa"/>
              <w:end w:w="100" w:type="dxa"/>
            </w:tcMar>
          </w:tcPr>
          <w:p>
            <w:pPr>
              <w:spacing w:before="0" w:after="0" w:line="252" w:lineRule="auto"/>
            </w:pPr>
            <w:r>
              <w:rPr>
                <w:sz w:val="17"/>
              </w:rPr>
              <w:t>SUPERSEDED</w:t>
            </w:r>
          </w:p>
        </w:tc>
        <w:tc>
          <w:tcPr>
            <w:tcW w:type="dxa" w:w="1600"/>
            <w:vAlign w:val="center"/>
            <w:tcMar>
              <w:top w:w="70" w:type="dxa"/>
              <w:bottom w:w="70" w:type="dxa"/>
              <w:start w:w="100" w:type="dxa"/>
              <w:end w:w="100" w:type="dxa"/>
            </w:tcMar>
          </w:tcPr>
          <w:p>
            <w:pPr>
              <w:spacing w:before="0" w:after="0" w:line="252" w:lineRule="auto"/>
            </w:pPr>
            <w:r>
              <w:rPr>
                <w:sz w:val="17"/>
              </w:rPr>
              <w:t>Foundation</w:t>
            </w:r>
          </w:p>
        </w:tc>
        <w:tc>
          <w:tcPr>
            <w:tcW w:type="dxa" w:w="4540"/>
            <w:vAlign w:val="center"/>
            <w:tcMar>
              <w:top w:w="70" w:type="dxa"/>
              <w:bottom w:w="70" w:type="dxa"/>
              <w:start w:w="100" w:type="dxa"/>
              <w:end w:w="100" w:type="dxa"/>
            </w:tcMar>
          </w:tcPr>
          <w:p>
            <w:pPr>
              <w:spacing w:before="0" w:after="0" w:line="252" w:lineRule="auto"/>
            </w:pPr>
            <w:r>
              <w:rPr>
                <w:sz w:val="17"/>
              </w:rPr>
              <w:t>Initial consolidated handbook.</w:t>
            </w:r>
          </w:p>
        </w:tc>
      </w:tr>
    </w:tbl>
    <w:p>
      <w:pPr>
        <w:spacing w:after="0"/>
      </w:pPr>
    </w:p>
    <w:p>
      <w:pPr>
        <w:pStyle w:val="Heading1"/>
      </w:pPr>
      <w:r>
        <w:t>Table of Contents</w:t>
      </w:r>
    </w:p>
    <w:p>
      <w:pPr>
        <w:pStyle w:val="ListBullet"/>
        <w:spacing w:after="80"/>
      </w:pPr>
      <w:r>
        <w:t>I. Vision &amp; Mission</w:t>
      </w:r>
    </w:p>
    <w:p>
      <w:pPr>
        <w:pStyle w:val="ListBullet"/>
        <w:spacing w:after="80"/>
      </w:pPr>
      <w:r>
        <w:t>II. Startup Engineering Principles</w:t>
      </w:r>
    </w:p>
    <w:p>
      <w:pPr>
        <w:pStyle w:val="ListBullet"/>
        <w:spacing w:after="80"/>
      </w:pPr>
      <w:r>
        <w:t>III. Architecture Principles</w:t>
      </w:r>
    </w:p>
    <w:p>
      <w:pPr>
        <w:pStyle w:val="ListBullet"/>
        <w:spacing w:after="80"/>
      </w:pPr>
      <w:r>
        <w:t>IV. Canonical Enterprise Ontology (CEO)</w:t>
      </w:r>
    </w:p>
    <w:p>
      <w:pPr>
        <w:pStyle w:val="ListBullet"/>
        <w:spacing w:after="80"/>
      </w:pPr>
      <w:r>
        <w:t>V. Constitutional Architecture Boundary</w:t>
      </w:r>
    </w:p>
    <w:p>
      <w:pPr>
        <w:pStyle w:val="ListBullet"/>
        <w:spacing w:after="80"/>
      </w:pPr>
      <w:r>
        <w:t>VI. Business Capability Specifications</w:t>
      </w:r>
    </w:p>
    <w:p>
      <w:pPr>
        <w:pStyle w:val="ListBullet"/>
        <w:spacing w:after="80"/>
      </w:pPr>
      <w:r>
        <w:t>VII. Logical, Physical &amp; Persistence Models</w:t>
      </w:r>
    </w:p>
    <w:p>
      <w:pPr>
        <w:pStyle w:val="ListBullet"/>
        <w:spacing w:after="80"/>
      </w:pPr>
      <w:r>
        <w:t>VIII. Enterprise Attribute Dictionary (EAD-001)</w:t>
      </w:r>
    </w:p>
    <w:p>
      <w:pPr>
        <w:pStyle w:val="ListBullet"/>
        <w:spacing w:after="80"/>
      </w:pPr>
      <w:r>
        <w:t>IX. Technology Architecture (TAS-001)</w:t>
      </w:r>
    </w:p>
    <w:p>
      <w:pPr>
        <w:pStyle w:val="ListBullet"/>
        <w:spacing w:after="80"/>
      </w:pPr>
      <w:r>
        <w:t>X. Development Standard (CDS-001)</w:t>
      </w:r>
    </w:p>
    <w:p>
      <w:pPr>
        <w:pStyle w:val="ListBullet"/>
        <w:spacing w:after="80"/>
      </w:pPr>
      <w:r>
        <w:t>XI. Current Approved Architecture</w:t>
      </w:r>
    </w:p>
    <w:p>
      <w:pPr>
        <w:pStyle w:val="ListBullet"/>
        <w:spacing w:after="80"/>
      </w:pPr>
      <w:r>
        <w:t>XII. Runtime Architecture</w:t>
      </w:r>
    </w:p>
    <w:p>
      <w:pPr>
        <w:pStyle w:val="ListBullet"/>
        <w:spacing w:after="80"/>
      </w:pPr>
      <w:r>
        <w:t>XIII. Governance Authority and Governance Evaluation</w:t>
      </w:r>
    </w:p>
    <w:p>
      <w:pPr>
        <w:pStyle w:val="ListBullet"/>
        <w:spacing w:after="80"/>
      </w:pPr>
      <w:r>
        <w:t>XIV. Architecture Boundary Contracts</w:t>
      </w:r>
    </w:p>
    <w:p>
      <w:pPr>
        <w:pStyle w:val="ListBullet"/>
        <w:spacing w:after="80"/>
      </w:pPr>
      <w:r>
        <w:t>XV. Handbook and Registry Governance</w:t>
      </w:r>
    </w:p>
    <w:p>
      <w:pPr>
        <w:pStyle w:val="ListBullet"/>
        <w:spacing w:after="80"/>
      </w:pPr>
      <w:r>
        <w:t>XVI. Traceability</w:t>
      </w:r>
    </w:p>
    <w:p>
      <w:pPr>
        <w:pStyle w:val="ListBullet"/>
        <w:spacing w:after="80"/>
      </w:pPr>
      <w:r>
        <w:t>Appendix A — Frozen Principles</w:t>
      </w:r>
    </w:p>
    <w:p>
      <w:pPr>
        <w:pStyle w:val="Heading1"/>
      </w:pPr>
      <w:r>
        <w:t>I. Vision &amp; Mission</w:t>
      </w:r>
    </w:p>
    <w:p>
      <w:r>
        <w:t>ECOM exists to transform fragmented enterprise operational data into governed institutional knowledge through an ontology-first architecture.</w:t>
      </w:r>
    </w:p>
    <w:p>
      <w:r>
        <w:t>Mission: Build an Enterprise Cognitive Operating Model in which ontology precedes cognition, cognition consumes ontology, institutional standing is established under Governance Authority, and Governance Evaluation assesses governed records without granting approval.</w:t>
      </w:r>
    </w:p>
    <w:p>
      <w:pPr>
        <w:pStyle w:val="Heading1"/>
      </w:pPr>
      <w:r>
        <w:t>II. Startup Engineering Principles</w:t>
      </w:r>
    </w:p>
    <w:p>
      <w:pPr>
        <w:pStyle w:val="ListBullet"/>
        <w:spacing w:after="80"/>
      </w:pPr>
      <w:r>
        <w:t>Progress over perfection.</w:t>
      </w:r>
    </w:p>
    <w:p>
      <w:pPr>
        <w:pStyle w:val="ListBullet"/>
        <w:spacing w:after="80"/>
      </w:pPr>
      <w:r>
        <w:t>Prototype before scale.</w:t>
      </w:r>
    </w:p>
    <w:p>
      <w:pPr>
        <w:pStyle w:val="ListBullet"/>
        <w:spacing w:after="80"/>
      </w:pPr>
      <w:r>
        <w:t>Ontology before cognition.</w:t>
      </w:r>
    </w:p>
    <w:p>
      <w:pPr>
        <w:pStyle w:val="ListBullet"/>
        <w:spacing w:after="80"/>
      </w:pPr>
      <w:r>
        <w:t>Cognition before UI.</w:t>
      </w:r>
    </w:p>
    <w:p>
      <w:pPr>
        <w:pStyle w:val="ListBullet"/>
        <w:spacing w:after="80"/>
      </w:pPr>
      <w:r>
        <w:t>Build differentiators before enterprise plumbing.</w:t>
      </w:r>
    </w:p>
    <w:p>
      <w:pPr>
        <w:pStyle w:val="ListBullet"/>
        <w:spacing w:after="80"/>
      </w:pPr>
      <w:r>
        <w:t>Everything not required for the YC prototype is deferred.</w:t>
      </w:r>
    </w:p>
    <w:p>
      <w:pPr>
        <w:pStyle w:val="Heading1"/>
      </w:pPr>
      <w:r>
        <w:t>III. Architecture Principles</w:t>
      </w:r>
    </w:p>
    <w:p>
      <w:pPr>
        <w:pStyle w:val="ListBullet"/>
        <w:spacing w:after="80"/>
      </w:pPr>
      <w:r>
        <w:t>Clean Architecture.</w:t>
      </w:r>
    </w:p>
    <w:p>
      <w:pPr>
        <w:pStyle w:val="ListBullet"/>
        <w:spacing w:after="80"/>
      </w:pPr>
      <w:r>
        <w:t>Domain-Driven Design.</w:t>
      </w:r>
    </w:p>
    <w:p>
      <w:pPr>
        <w:pStyle w:val="ListBullet"/>
        <w:spacing w:after="80"/>
      </w:pPr>
      <w:r>
        <w:t>Modular Monolith First.</w:t>
      </w:r>
    </w:p>
    <w:p>
      <w:pPr>
        <w:pStyle w:val="ListBullet"/>
        <w:spacing w:after="80"/>
      </w:pPr>
      <w:r>
        <w:t>Explainability by Design.</w:t>
      </w:r>
    </w:p>
    <w:p>
      <w:pPr>
        <w:pStyle w:val="ListBullet"/>
        <w:spacing w:after="80"/>
      </w:pPr>
      <w:r>
        <w:t>The Canonical Enterprise Ontology is the single business truth.</w:t>
      </w:r>
    </w:p>
    <w:p>
      <w:pPr>
        <w:pStyle w:val="ListBullet"/>
        <w:spacing w:after="80"/>
      </w:pPr>
      <w:r>
        <w:t>Immutable evaluation records preserve history; currentness is determined externally.</w:t>
      </w:r>
    </w:p>
    <w:p>
      <w:pPr>
        <w:pStyle w:val="ListBullet"/>
        <w:spacing w:after="80"/>
      </w:pPr>
      <w:r>
        <w:t>Code never defines architecture; architecture defines code.</w:t>
      </w:r>
    </w:p>
    <w:p>
      <w:pPr>
        <w:pStyle w:val="Heading1"/>
      </w:pPr>
      <w:r>
        <w:t>IV. Canonical Enterprise Ontology (CEO)</w:t>
      </w:r>
    </w:p>
    <w:p>
      <w:r>
        <w:t>The CEO is the frozen business ontology of ECOM. Cognitive capabilities consume it but never redefine it. CDD-003 Revision 2 is the authoritative complete Canonical Enterprise Ontology.</w:t>
      </w:r>
    </w:p>
    <w:p>
      <w:pPr>
        <w:pStyle w:val="Heading2"/>
      </w:pPr>
      <w:r>
        <w:t>Foundation Reference Model</w:t>
      </w:r>
    </w:p>
    <w:p>
      <w:pPr>
        <w:pStyle w:val="ListBullet"/>
        <w:spacing w:after="80"/>
      </w:pPr>
      <w:r>
        <w:t>Enterprise</w:t>
      </w:r>
    </w:p>
    <w:p>
      <w:pPr>
        <w:pStyle w:val="ListBullet"/>
        <w:spacing w:after="80"/>
      </w:pPr>
      <w:r>
        <w:t>Enterprise Type</w:t>
      </w:r>
    </w:p>
    <w:p>
      <w:pPr>
        <w:pStyle w:val="ListBullet"/>
        <w:spacing w:after="80"/>
      </w:pPr>
      <w:r>
        <w:t>Business Domain</w:t>
      </w:r>
    </w:p>
    <w:p>
      <w:pPr>
        <w:pStyle w:val="ListBullet"/>
        <w:spacing w:after="80"/>
      </w:pPr>
      <w:r>
        <w:t>Country</w:t>
      </w:r>
    </w:p>
    <w:p>
      <w:pPr>
        <w:pStyle w:val="ListBullet"/>
        <w:spacing w:after="80"/>
      </w:pPr>
      <w:r>
        <w:t>Institutional Concept</w:t>
      </w:r>
    </w:p>
    <w:p>
      <w:pPr>
        <w:pStyle w:val="ListBullet"/>
        <w:spacing w:after="80"/>
      </w:pPr>
      <w:r>
        <w:t>Entity Type</w:t>
      </w:r>
    </w:p>
    <w:p>
      <w:pPr>
        <w:pStyle w:val="ListBullet"/>
        <w:spacing w:after="80"/>
      </w:pPr>
      <w:r>
        <w:t>Relationship Type</w:t>
      </w:r>
    </w:p>
    <w:p>
      <w:pPr>
        <w:pStyle w:val="Heading2"/>
      </w:pPr>
      <w:r>
        <w:t>Operational Canonical Model</w:t>
      </w:r>
    </w:p>
    <w:p>
      <w:pPr>
        <w:pStyle w:val="ListBullet"/>
        <w:spacing w:after="80"/>
      </w:pPr>
      <w:r>
        <w:t>Enterprise Entity</w:t>
      </w:r>
    </w:p>
    <w:p>
      <w:pPr>
        <w:pStyle w:val="ListBullet"/>
        <w:spacing w:after="80"/>
      </w:pPr>
      <w:r>
        <w:t>Source System</w:t>
      </w:r>
    </w:p>
    <w:p>
      <w:pPr>
        <w:pStyle w:val="ListBullet"/>
        <w:spacing w:after="80"/>
      </w:pPr>
      <w:r>
        <w:t>Source Object</w:t>
      </w:r>
    </w:p>
    <w:p>
      <w:pPr>
        <w:pStyle w:val="ListBullet"/>
        <w:spacing w:after="80"/>
      </w:pPr>
      <w:r>
        <w:t>Context</w:t>
      </w:r>
    </w:p>
    <w:p>
      <w:r>
        <w:t>The full CEO extends beyond this concise orientation list. Implementers must resolve the complete entity and relationship set through CDD-003 Revision 2, the Logical Model, the Physical Model, and EAD-001.</w:t>
      </w:r>
    </w:p>
    <w:p>
      <w:pPr>
        <w:pStyle w:val="Heading1"/>
      </w:pPr>
      <w:r>
        <w:t>V. Constitutional Architecture Boundary</w:t>
      </w:r>
    </w:p>
    <w:p>
      <w:r>
        <w:t>RFC-010 establishes the Canonical Enterprise Ontology boundary. RFC-011 establishes immutable record lifecycle and external currentness. RFC-012 reconciles RFC-0001 through RFC-0009 with the current constitution. RFC-013 separates Governance Authority from Governance Evaluation.</w:t>
      </w:r>
    </w:p>
    <w:p>
      <w:pPr>
        <w:keepLines/>
        <w:spacing w:before="80" w:after="160" w:line="240" w:lineRule="auto"/>
        <w:ind w:left="360" w:right="360"/>
        <w:shd w:fill="F2F4F7"/>
      </w:pPr>
      <w:r>
        <w:rPr>
          <w:rFonts w:ascii="Courier New" w:hAnsi="Courier New"/>
          <w:sz w:val="18"/>
        </w:rPr>
        <w:t>Constitutional architecture</w:t>
      </w:r>
      <w:r>
        <w:br/>
      </w:r>
      <w:r>
        <w:rPr>
          <w:rFonts w:ascii="Courier New" w:hAnsi="Courier New"/>
          <w:sz w:val="18"/>
        </w:rPr>
        <w:t xml:space="preserve">        |</w:t>
      </w:r>
      <w:r>
        <w:br/>
      </w:r>
      <w:r>
        <w:rPr>
          <w:rFonts w:ascii="Courier New" w:hAnsi="Courier New"/>
          <w:sz w:val="18"/>
        </w:rPr>
        <w:t xml:space="preserve">        +-- CEO: enterprise reality</w:t>
      </w:r>
      <w:r>
        <w:br/>
      </w:r>
      <w:r>
        <w:rPr>
          <w:rFonts w:ascii="Courier New" w:hAnsi="Courier New"/>
          <w:sz w:val="18"/>
        </w:rPr>
        <w:t xml:space="preserve">        +-- BCS: semantics inside one capability</w:t>
      </w:r>
      <w:r>
        <w:br/>
      </w:r>
      <w:r>
        <w:rPr>
          <w:rFonts w:ascii="Courier New" w:hAnsi="Courier New"/>
          <w:sz w:val="18"/>
        </w:rPr>
        <w:t xml:space="preserve">        +-- RFCs: cross-capability boundaries</w:t>
      </w:r>
      <w:r>
        <w:br/>
      </w:r>
      <w:r>
        <w:rPr>
          <w:rFonts w:ascii="Courier New" w:hAnsi="Courier New"/>
          <w:sz w:val="18"/>
        </w:rPr>
        <w:t xml:space="preserve">        +-- CDDs: authorized implementation work orders</w:t>
      </w:r>
      <w:r>
        <w:br/>
      </w:r>
      <w:r>
        <w:rPr>
          <w:rFonts w:ascii="Courier New" w:hAnsi="Courier New"/>
          <w:sz w:val="18"/>
        </w:rPr>
        <w:t xml:space="preserve">        +-- Code: runtime implementation</w:t>
      </w:r>
    </w:p>
    <w:p>
      <w:pPr>
        <w:pStyle w:val="Heading1"/>
      </w:pPr>
      <w:r>
        <w:t>VI. Business Capability Specifications</w:t>
      </w:r>
    </w:p>
    <w:p>
      <w:r>
        <w:t>Business Capability Specifications (BCSs) are frozen specifications of business capability semantics and business artifacts. A BCS is the sole authority for semantics inside its assigned capability. RFCs govern cross-capability boundaries. CDDs reference BCS artifacts and may not duplicate or redefine them. Private implementation artifacts remain an engineering responsibility unless they become externally visible or modify canonical business semantics.</w:t>
      </w:r>
    </w:p>
    <w:tbl>
      <w:tblPr>
        <w:tblStyle w:val="TableGrid"/>
        <w:tblW w:type="dxa" w:w="8640"/>
        <w:jc w:val="left"/>
        <w:tblLayout w:type="fixed"/>
        <w:tblLook w:firstColumn="1" w:firstRow="1" w:lastColumn="0" w:lastRow="0" w:noHBand="0" w:noVBand="1" w:val="04A0"/>
      </w:tblPr>
      <w:tblGrid>
        <w:gridCol w:w="2500"/>
        <w:gridCol w:w="1650"/>
        <w:gridCol w:w="1100"/>
        <w:gridCol w:w="3390"/>
      </w:tblGrid>
      <w:tr>
        <w:trPr>
          <w:cantSplit/>
          <w:tblHeader w:val="true"/>
        </w:trPr>
        <w:tc>
          <w:tcPr>
            <w:tcW w:type="dxa" w:w="2500"/>
            <w:vAlign w:val="center"/>
            <w:tcMar>
              <w:top w:w="70" w:type="dxa"/>
              <w:bottom w:w="70" w:type="dxa"/>
              <w:start w:w="100" w:type="dxa"/>
              <w:end w:w="100" w:type="dxa"/>
            </w:tcMar>
            <w:shd w:fill="D9EAF7"/>
          </w:tcPr>
          <w:p>
            <w:pPr>
              <w:spacing w:before="0" w:after="0" w:line="252" w:lineRule="auto"/>
            </w:pPr>
            <w:r>
              <w:rPr>
                <w:b/>
                <w:color w:val="1F4E79"/>
                <w:sz w:val="17"/>
              </w:rPr>
              <w:t>Capability</w:t>
            </w:r>
          </w:p>
        </w:tc>
        <w:tc>
          <w:tcPr>
            <w:tcW w:type="dxa" w:w="1650"/>
            <w:vAlign w:val="center"/>
            <w:tcMar>
              <w:top w:w="70" w:type="dxa"/>
              <w:bottom w:w="70" w:type="dxa"/>
              <w:start w:w="100" w:type="dxa"/>
              <w:end w:w="100" w:type="dxa"/>
            </w:tcMar>
            <w:shd w:fill="D9EAF7"/>
          </w:tcPr>
          <w:p>
            <w:pPr>
              <w:spacing w:before="0" w:after="0" w:line="252" w:lineRule="auto"/>
            </w:pPr>
            <w:r>
              <w:rPr>
                <w:b/>
                <w:color w:val="1F4E79"/>
                <w:sz w:val="17"/>
              </w:rPr>
              <w:t>Current BCS</w:t>
            </w:r>
          </w:p>
        </w:tc>
        <w:tc>
          <w:tcPr>
            <w:tcW w:type="dxa" w:w="1100"/>
            <w:vAlign w:val="center"/>
            <w:tcMar>
              <w:top w:w="70" w:type="dxa"/>
              <w:bottom w:w="70" w:type="dxa"/>
              <w:start w:w="100" w:type="dxa"/>
              <w:end w:w="100" w:type="dxa"/>
            </w:tcMar>
            <w:shd w:fill="D9EAF7"/>
          </w:tcPr>
          <w:p>
            <w:pPr>
              <w:spacing w:before="0" w:after="0" w:line="252" w:lineRule="auto"/>
            </w:pPr>
            <w:r>
              <w:rPr>
                <w:b/>
                <w:color w:val="1F4E79"/>
                <w:sz w:val="17"/>
              </w:rPr>
              <w:t>Version</w:t>
            </w:r>
          </w:p>
        </w:tc>
        <w:tc>
          <w:tcPr>
            <w:tcW w:type="dxa" w:w="3390"/>
            <w:vAlign w:val="center"/>
            <w:tcMar>
              <w:top w:w="70" w:type="dxa"/>
              <w:bottom w:w="70" w:type="dxa"/>
              <w:start w:w="100" w:type="dxa"/>
              <w:end w:w="100" w:type="dxa"/>
            </w:tcMar>
            <w:shd w:fill="D9EAF7"/>
          </w:tcPr>
          <w:p>
            <w:pPr>
              <w:spacing w:before="0" w:after="0" w:line="252" w:lineRule="auto"/>
            </w:pPr>
            <w:r>
              <w:rPr>
                <w:b/>
                <w:color w:val="1F4E79"/>
                <w:sz w:val="17"/>
              </w:rPr>
              <w:t>Implementation</w:t>
            </w:r>
          </w:p>
        </w:tc>
      </w:tr>
      <w:tr>
        <w:trPr>
          <w:cantSplit/>
        </w:trPr>
        <w:tc>
          <w:tcPr>
            <w:tcW w:type="dxa" w:w="2500"/>
            <w:vAlign w:val="center"/>
            <w:tcMar>
              <w:top w:w="70" w:type="dxa"/>
              <w:bottom w:w="70" w:type="dxa"/>
              <w:start w:w="100" w:type="dxa"/>
              <w:end w:w="100" w:type="dxa"/>
            </w:tcMar>
          </w:tcPr>
          <w:p>
            <w:pPr>
              <w:spacing w:before="0" w:after="0" w:line="252" w:lineRule="auto"/>
            </w:pPr>
            <w:r>
              <w:rPr>
                <w:sz w:val="17"/>
              </w:rPr>
              <w:t>Enterprise Entity Resolution</w:t>
            </w:r>
          </w:p>
        </w:tc>
        <w:tc>
          <w:tcPr>
            <w:tcW w:type="dxa" w:w="1650"/>
            <w:vAlign w:val="center"/>
            <w:tcMar>
              <w:top w:w="70" w:type="dxa"/>
              <w:bottom w:w="70" w:type="dxa"/>
              <w:start w:w="100" w:type="dxa"/>
              <w:end w:w="100" w:type="dxa"/>
            </w:tcMar>
          </w:tcPr>
          <w:p>
            <w:pPr>
              <w:spacing w:before="0" w:after="0" w:line="252" w:lineRule="auto"/>
            </w:pPr>
            <w:r>
              <w:rPr>
                <w:sz w:val="17"/>
              </w:rPr>
              <w:t>ERM-001</w:t>
            </w:r>
          </w:p>
        </w:tc>
        <w:tc>
          <w:tcPr>
            <w:tcW w:type="dxa" w:w="1100"/>
            <w:vAlign w:val="center"/>
            <w:tcMar>
              <w:top w:w="70" w:type="dxa"/>
              <w:bottom w:w="70" w:type="dxa"/>
              <w:start w:w="100" w:type="dxa"/>
              <w:end w:w="100" w:type="dxa"/>
            </w:tcMar>
          </w:tcPr>
          <w:p>
            <w:pPr>
              <w:spacing w:before="0" w:after="0" w:line="252" w:lineRule="auto"/>
            </w:pPr>
            <w:r>
              <w:rPr>
                <w:sz w:val="17"/>
              </w:rPr>
              <w:t>2.2</w:t>
            </w:r>
          </w:p>
        </w:tc>
        <w:tc>
          <w:tcPr>
            <w:tcW w:type="dxa" w:w="3390"/>
            <w:vAlign w:val="center"/>
            <w:tcMar>
              <w:top w:w="70" w:type="dxa"/>
              <w:bottom w:w="70" w:type="dxa"/>
              <w:start w:w="100" w:type="dxa"/>
              <w:end w:w="100" w:type="dxa"/>
            </w:tcMar>
          </w:tcPr>
          <w:p>
            <w:pPr>
              <w:spacing w:before="0" w:after="0" w:line="252" w:lineRule="auto"/>
            </w:pPr>
            <w:r>
              <w:rPr>
                <w:sz w:val="17"/>
              </w:rPr>
              <w:t>CDD-004</w:t>
            </w:r>
          </w:p>
        </w:tc>
      </w:tr>
      <w:tr>
        <w:trPr>
          <w:cantSplit/>
        </w:trPr>
        <w:tc>
          <w:tcPr>
            <w:tcW w:type="dxa" w:w="2500"/>
            <w:vAlign w:val="center"/>
            <w:tcMar>
              <w:top w:w="70" w:type="dxa"/>
              <w:bottom w:w="70" w:type="dxa"/>
              <w:start w:w="100" w:type="dxa"/>
              <w:end w:w="100" w:type="dxa"/>
            </w:tcMar>
          </w:tcPr>
          <w:p>
            <w:pPr>
              <w:spacing w:before="0" w:after="0" w:line="252" w:lineRule="auto"/>
            </w:pPr>
            <w:r>
              <w:rPr>
                <w:sz w:val="17"/>
              </w:rPr>
              <w:t>Semantic Resolution</w:t>
            </w:r>
          </w:p>
        </w:tc>
        <w:tc>
          <w:tcPr>
            <w:tcW w:type="dxa" w:w="1650"/>
            <w:vAlign w:val="center"/>
            <w:tcMar>
              <w:top w:w="70" w:type="dxa"/>
              <w:bottom w:w="70" w:type="dxa"/>
              <w:start w:w="100" w:type="dxa"/>
              <w:end w:w="100" w:type="dxa"/>
            </w:tcMar>
          </w:tcPr>
          <w:p>
            <w:pPr>
              <w:spacing w:before="0" w:after="0" w:line="252" w:lineRule="auto"/>
            </w:pPr>
            <w:r>
              <w:rPr>
                <w:sz w:val="17"/>
              </w:rPr>
              <w:t>SRM-001</w:t>
            </w:r>
          </w:p>
        </w:tc>
        <w:tc>
          <w:tcPr>
            <w:tcW w:type="dxa" w:w="1100"/>
            <w:vAlign w:val="center"/>
            <w:tcMar>
              <w:top w:w="70" w:type="dxa"/>
              <w:bottom w:w="70" w:type="dxa"/>
              <w:start w:w="100" w:type="dxa"/>
              <w:end w:w="100" w:type="dxa"/>
            </w:tcMar>
          </w:tcPr>
          <w:p>
            <w:pPr>
              <w:spacing w:before="0" w:after="0" w:line="252" w:lineRule="auto"/>
            </w:pPr>
            <w:r>
              <w:rPr>
                <w:sz w:val="17"/>
              </w:rPr>
              <w:t>2.1</w:t>
            </w:r>
          </w:p>
        </w:tc>
        <w:tc>
          <w:tcPr>
            <w:tcW w:type="dxa" w:w="3390"/>
            <w:vAlign w:val="center"/>
            <w:tcMar>
              <w:top w:w="70" w:type="dxa"/>
              <w:bottom w:w="70" w:type="dxa"/>
              <w:start w:w="100" w:type="dxa"/>
              <w:end w:w="100" w:type="dxa"/>
            </w:tcMar>
          </w:tcPr>
          <w:p>
            <w:pPr>
              <w:spacing w:before="0" w:after="0" w:line="252" w:lineRule="auto"/>
            </w:pPr>
            <w:r>
              <w:rPr>
                <w:sz w:val="17"/>
              </w:rPr>
              <w:t>CDD-005</w:t>
            </w:r>
          </w:p>
        </w:tc>
      </w:tr>
      <w:tr>
        <w:trPr>
          <w:cantSplit/>
        </w:trPr>
        <w:tc>
          <w:tcPr>
            <w:tcW w:type="dxa" w:w="2500"/>
            <w:vAlign w:val="center"/>
            <w:tcMar>
              <w:top w:w="70" w:type="dxa"/>
              <w:bottom w:w="70" w:type="dxa"/>
              <w:start w:w="100" w:type="dxa"/>
              <w:end w:w="100" w:type="dxa"/>
            </w:tcMar>
          </w:tcPr>
          <w:p>
            <w:pPr>
              <w:spacing w:before="0" w:after="0" w:line="252" w:lineRule="auto"/>
            </w:pPr>
            <w:r>
              <w:rPr>
                <w:sz w:val="17"/>
              </w:rPr>
              <w:t>Assertion</w:t>
            </w:r>
          </w:p>
        </w:tc>
        <w:tc>
          <w:tcPr>
            <w:tcW w:type="dxa" w:w="1650"/>
            <w:vAlign w:val="center"/>
            <w:tcMar>
              <w:top w:w="70" w:type="dxa"/>
              <w:bottom w:w="70" w:type="dxa"/>
              <w:start w:w="100" w:type="dxa"/>
              <w:end w:w="100" w:type="dxa"/>
            </w:tcMar>
          </w:tcPr>
          <w:p>
            <w:pPr>
              <w:spacing w:before="0" w:after="0" w:line="252" w:lineRule="auto"/>
            </w:pPr>
            <w:r>
              <w:rPr>
                <w:sz w:val="17"/>
              </w:rPr>
              <w:t>ASM-001</w:t>
            </w:r>
          </w:p>
        </w:tc>
        <w:tc>
          <w:tcPr>
            <w:tcW w:type="dxa" w:w="1100"/>
            <w:vAlign w:val="center"/>
            <w:tcMar>
              <w:top w:w="70" w:type="dxa"/>
              <w:bottom w:w="70" w:type="dxa"/>
              <w:start w:w="100" w:type="dxa"/>
              <w:end w:w="100" w:type="dxa"/>
            </w:tcMar>
          </w:tcPr>
          <w:p>
            <w:pPr>
              <w:spacing w:before="0" w:after="0" w:line="252" w:lineRule="auto"/>
            </w:pPr>
            <w:r>
              <w:rPr>
                <w:sz w:val="17"/>
              </w:rPr>
              <w:t>2.1</w:t>
            </w:r>
          </w:p>
        </w:tc>
        <w:tc>
          <w:tcPr>
            <w:tcW w:type="dxa" w:w="3390"/>
            <w:vAlign w:val="center"/>
            <w:tcMar>
              <w:top w:w="70" w:type="dxa"/>
              <w:bottom w:w="70" w:type="dxa"/>
              <w:start w:w="100" w:type="dxa"/>
              <w:end w:w="100" w:type="dxa"/>
            </w:tcMar>
          </w:tcPr>
          <w:p>
            <w:pPr>
              <w:spacing w:before="0" w:after="0" w:line="252" w:lineRule="auto"/>
            </w:pPr>
            <w:r>
              <w:rPr>
                <w:sz w:val="17"/>
              </w:rPr>
              <w:t>CDD-006</w:t>
            </w:r>
          </w:p>
        </w:tc>
      </w:tr>
      <w:tr>
        <w:trPr>
          <w:cantSplit/>
        </w:trPr>
        <w:tc>
          <w:tcPr>
            <w:tcW w:type="dxa" w:w="2500"/>
            <w:vAlign w:val="center"/>
            <w:tcMar>
              <w:top w:w="70" w:type="dxa"/>
              <w:bottom w:w="70" w:type="dxa"/>
              <w:start w:w="100" w:type="dxa"/>
              <w:end w:w="100" w:type="dxa"/>
            </w:tcMar>
          </w:tcPr>
          <w:p>
            <w:pPr>
              <w:spacing w:before="0" w:after="0" w:line="252" w:lineRule="auto"/>
            </w:pPr>
            <w:r>
              <w:rPr>
                <w:sz w:val="17"/>
              </w:rPr>
              <w:t>Acceptance Evidence</w:t>
            </w:r>
          </w:p>
        </w:tc>
        <w:tc>
          <w:tcPr>
            <w:tcW w:type="dxa" w:w="1650"/>
            <w:vAlign w:val="center"/>
            <w:tcMar>
              <w:top w:w="70" w:type="dxa"/>
              <w:bottom w:w="70" w:type="dxa"/>
              <w:start w:w="100" w:type="dxa"/>
              <w:end w:w="100" w:type="dxa"/>
            </w:tcMar>
          </w:tcPr>
          <w:p>
            <w:pPr>
              <w:spacing w:before="0" w:after="0" w:line="252" w:lineRule="auto"/>
            </w:pPr>
            <w:r>
              <w:rPr>
                <w:sz w:val="17"/>
              </w:rPr>
              <w:t>AEM-001</w:t>
            </w:r>
          </w:p>
        </w:tc>
        <w:tc>
          <w:tcPr>
            <w:tcW w:type="dxa" w:w="1100"/>
            <w:vAlign w:val="center"/>
            <w:tcMar>
              <w:top w:w="70" w:type="dxa"/>
              <w:bottom w:w="70" w:type="dxa"/>
              <w:start w:w="100" w:type="dxa"/>
              <w:end w:w="100" w:type="dxa"/>
            </w:tcMar>
          </w:tcPr>
          <w:p>
            <w:pPr>
              <w:spacing w:before="0" w:after="0" w:line="252" w:lineRule="auto"/>
            </w:pPr>
            <w:r>
              <w:rPr>
                <w:sz w:val="17"/>
              </w:rPr>
              <w:t>1.1</w:t>
            </w:r>
          </w:p>
        </w:tc>
        <w:tc>
          <w:tcPr>
            <w:tcW w:type="dxa" w:w="3390"/>
            <w:vAlign w:val="center"/>
            <w:tcMar>
              <w:top w:w="70" w:type="dxa"/>
              <w:bottom w:w="70" w:type="dxa"/>
              <w:start w:w="100" w:type="dxa"/>
              <w:end w:w="100" w:type="dxa"/>
            </w:tcMar>
          </w:tcPr>
          <w:p>
            <w:pPr>
              <w:spacing w:before="0" w:after="0" w:line="252" w:lineRule="auto"/>
            </w:pPr>
            <w:r>
              <w:rPr>
                <w:sz w:val="17"/>
              </w:rPr>
              <w:t>Consumed by Knowledge under RFC-013</w:t>
            </w:r>
          </w:p>
        </w:tc>
      </w:tr>
      <w:tr>
        <w:trPr>
          <w:cantSplit/>
        </w:trPr>
        <w:tc>
          <w:tcPr>
            <w:tcW w:type="dxa" w:w="2500"/>
            <w:vAlign w:val="center"/>
            <w:tcMar>
              <w:top w:w="70" w:type="dxa"/>
              <w:bottom w:w="70" w:type="dxa"/>
              <w:start w:w="100" w:type="dxa"/>
              <w:end w:w="100" w:type="dxa"/>
            </w:tcMar>
          </w:tcPr>
          <w:p>
            <w:pPr>
              <w:spacing w:before="0" w:after="0" w:line="252" w:lineRule="auto"/>
            </w:pPr>
            <w:r>
              <w:rPr>
                <w:sz w:val="17"/>
              </w:rPr>
              <w:t>Knowledge</w:t>
            </w:r>
          </w:p>
        </w:tc>
        <w:tc>
          <w:tcPr>
            <w:tcW w:type="dxa" w:w="1650"/>
            <w:vAlign w:val="center"/>
            <w:tcMar>
              <w:top w:w="70" w:type="dxa"/>
              <w:bottom w:w="70" w:type="dxa"/>
              <w:start w:w="100" w:type="dxa"/>
              <w:end w:w="100" w:type="dxa"/>
            </w:tcMar>
          </w:tcPr>
          <w:p>
            <w:pPr>
              <w:spacing w:before="0" w:after="0" w:line="252" w:lineRule="auto"/>
            </w:pPr>
            <w:r>
              <w:rPr>
                <w:sz w:val="17"/>
              </w:rPr>
              <w:t>KRM-001</w:t>
            </w:r>
          </w:p>
        </w:tc>
        <w:tc>
          <w:tcPr>
            <w:tcW w:type="dxa" w:w="1100"/>
            <w:vAlign w:val="center"/>
            <w:tcMar>
              <w:top w:w="70" w:type="dxa"/>
              <w:bottom w:w="70" w:type="dxa"/>
              <w:start w:w="100" w:type="dxa"/>
              <w:end w:w="100" w:type="dxa"/>
            </w:tcMar>
          </w:tcPr>
          <w:p>
            <w:pPr>
              <w:spacing w:before="0" w:after="0" w:line="252" w:lineRule="auto"/>
            </w:pPr>
            <w:r>
              <w:rPr>
                <w:sz w:val="17"/>
              </w:rPr>
              <w:t>1.3</w:t>
            </w:r>
          </w:p>
        </w:tc>
        <w:tc>
          <w:tcPr>
            <w:tcW w:type="dxa" w:w="3390"/>
            <w:vAlign w:val="center"/>
            <w:tcMar>
              <w:top w:w="70" w:type="dxa"/>
              <w:bottom w:w="70" w:type="dxa"/>
              <w:start w:w="100" w:type="dxa"/>
              <w:end w:w="100" w:type="dxa"/>
            </w:tcMar>
          </w:tcPr>
          <w:p>
            <w:pPr>
              <w:spacing w:before="0" w:after="0" w:line="252" w:lineRule="auto"/>
            </w:pPr>
            <w:r>
              <w:rPr>
                <w:sz w:val="17"/>
              </w:rPr>
              <w:t>CDD-007</w:t>
            </w:r>
          </w:p>
        </w:tc>
      </w:tr>
      <w:tr>
        <w:trPr>
          <w:cantSplit/>
        </w:trPr>
        <w:tc>
          <w:tcPr>
            <w:tcW w:type="dxa" w:w="2500"/>
            <w:vAlign w:val="center"/>
            <w:tcMar>
              <w:top w:w="70" w:type="dxa"/>
              <w:bottom w:w="70" w:type="dxa"/>
              <w:start w:w="100" w:type="dxa"/>
              <w:end w:w="100" w:type="dxa"/>
            </w:tcMar>
          </w:tcPr>
          <w:p>
            <w:pPr>
              <w:spacing w:before="0" w:after="0" w:line="252" w:lineRule="auto"/>
            </w:pPr>
            <w:r>
              <w:rPr>
                <w:sz w:val="17"/>
              </w:rPr>
              <w:t>Decision</w:t>
            </w:r>
          </w:p>
        </w:tc>
        <w:tc>
          <w:tcPr>
            <w:tcW w:type="dxa" w:w="1650"/>
            <w:vAlign w:val="center"/>
            <w:tcMar>
              <w:top w:w="70" w:type="dxa"/>
              <w:bottom w:w="70" w:type="dxa"/>
              <w:start w:w="100" w:type="dxa"/>
              <w:end w:w="100" w:type="dxa"/>
            </w:tcMar>
          </w:tcPr>
          <w:p>
            <w:pPr>
              <w:spacing w:before="0" w:after="0" w:line="252" w:lineRule="auto"/>
            </w:pPr>
            <w:r>
              <w:rPr>
                <w:sz w:val="17"/>
              </w:rPr>
              <w:t>DRM-001</w:t>
            </w:r>
          </w:p>
        </w:tc>
        <w:tc>
          <w:tcPr>
            <w:tcW w:type="dxa" w:w="1100"/>
            <w:vAlign w:val="center"/>
            <w:tcMar>
              <w:top w:w="70" w:type="dxa"/>
              <w:bottom w:w="70" w:type="dxa"/>
              <w:start w:w="100" w:type="dxa"/>
              <w:end w:w="100" w:type="dxa"/>
            </w:tcMar>
          </w:tcPr>
          <w:p>
            <w:pPr>
              <w:spacing w:before="0" w:after="0" w:line="252" w:lineRule="auto"/>
            </w:pPr>
            <w:r>
              <w:rPr>
                <w:sz w:val="17"/>
              </w:rPr>
              <w:t>1.1</w:t>
            </w:r>
          </w:p>
        </w:tc>
        <w:tc>
          <w:tcPr>
            <w:tcW w:type="dxa" w:w="3390"/>
            <w:vAlign w:val="center"/>
            <w:tcMar>
              <w:top w:w="70" w:type="dxa"/>
              <w:bottom w:w="70" w:type="dxa"/>
              <w:start w:w="100" w:type="dxa"/>
              <w:end w:w="100" w:type="dxa"/>
            </w:tcMar>
          </w:tcPr>
          <w:p>
            <w:pPr>
              <w:spacing w:before="0" w:after="0" w:line="252" w:lineRule="auto"/>
            </w:pPr>
            <w:r>
              <w:rPr>
                <w:sz w:val="17"/>
              </w:rPr>
              <w:t>CDD-008</w:t>
            </w:r>
          </w:p>
        </w:tc>
      </w:tr>
      <w:tr>
        <w:trPr>
          <w:cantSplit/>
        </w:trPr>
        <w:tc>
          <w:tcPr>
            <w:tcW w:type="dxa" w:w="2500"/>
            <w:vAlign w:val="center"/>
            <w:tcMar>
              <w:top w:w="70" w:type="dxa"/>
              <w:bottom w:w="70" w:type="dxa"/>
              <w:start w:w="100" w:type="dxa"/>
              <w:end w:w="100" w:type="dxa"/>
            </w:tcMar>
          </w:tcPr>
          <w:p>
            <w:pPr>
              <w:spacing w:before="0" w:after="0" w:line="252" w:lineRule="auto"/>
            </w:pPr>
            <w:r>
              <w:rPr>
                <w:sz w:val="17"/>
              </w:rPr>
              <w:t>Governance Exception</w:t>
            </w:r>
          </w:p>
        </w:tc>
        <w:tc>
          <w:tcPr>
            <w:tcW w:type="dxa" w:w="1650"/>
            <w:vAlign w:val="center"/>
            <w:tcMar>
              <w:top w:w="70" w:type="dxa"/>
              <w:bottom w:w="70" w:type="dxa"/>
              <w:start w:w="100" w:type="dxa"/>
              <w:end w:w="100" w:type="dxa"/>
            </w:tcMar>
          </w:tcPr>
          <w:p>
            <w:pPr>
              <w:spacing w:before="0" w:after="0" w:line="252" w:lineRule="auto"/>
            </w:pPr>
            <w:r>
              <w:rPr>
                <w:sz w:val="17"/>
              </w:rPr>
              <w:t>GEM-001</w:t>
            </w:r>
          </w:p>
        </w:tc>
        <w:tc>
          <w:tcPr>
            <w:tcW w:type="dxa" w:w="1100"/>
            <w:vAlign w:val="center"/>
            <w:tcMar>
              <w:top w:w="70" w:type="dxa"/>
              <w:bottom w:w="70" w:type="dxa"/>
              <w:start w:w="100" w:type="dxa"/>
              <w:end w:w="100" w:type="dxa"/>
            </w:tcMar>
          </w:tcPr>
          <w:p>
            <w:pPr>
              <w:spacing w:before="0" w:after="0" w:line="252" w:lineRule="auto"/>
            </w:pPr>
            <w:r>
              <w:rPr>
                <w:sz w:val="17"/>
              </w:rPr>
              <w:t>1.0</w:t>
            </w:r>
          </w:p>
        </w:tc>
        <w:tc>
          <w:tcPr>
            <w:tcW w:type="dxa" w:w="3390"/>
            <w:vAlign w:val="center"/>
            <w:tcMar>
              <w:top w:w="70" w:type="dxa"/>
              <w:bottom w:w="70" w:type="dxa"/>
              <w:start w:w="100" w:type="dxa"/>
              <w:end w:w="100" w:type="dxa"/>
            </w:tcMar>
          </w:tcPr>
          <w:p>
            <w:pPr>
              <w:spacing w:before="0" w:after="0" w:line="252" w:lineRule="auto"/>
            </w:pPr>
            <w:r>
              <w:rPr>
                <w:sz w:val="17"/>
              </w:rPr>
              <w:t>Consumed by Governance Evaluation</w:t>
            </w:r>
          </w:p>
        </w:tc>
      </w:tr>
      <w:tr>
        <w:trPr>
          <w:cantSplit/>
        </w:trPr>
        <w:tc>
          <w:tcPr>
            <w:tcW w:type="dxa" w:w="2500"/>
            <w:vAlign w:val="center"/>
            <w:tcMar>
              <w:top w:w="70" w:type="dxa"/>
              <w:bottom w:w="70" w:type="dxa"/>
              <w:start w:w="100" w:type="dxa"/>
              <w:end w:w="100" w:type="dxa"/>
            </w:tcMar>
          </w:tcPr>
          <w:p>
            <w:pPr>
              <w:spacing w:before="0" w:after="0" w:line="252" w:lineRule="auto"/>
            </w:pPr>
            <w:r>
              <w:rPr>
                <w:sz w:val="17"/>
              </w:rPr>
              <w:t>Governance Evaluation</w:t>
            </w:r>
          </w:p>
        </w:tc>
        <w:tc>
          <w:tcPr>
            <w:tcW w:type="dxa" w:w="1650"/>
            <w:vAlign w:val="center"/>
            <w:tcMar>
              <w:top w:w="70" w:type="dxa"/>
              <w:bottom w:w="70" w:type="dxa"/>
              <w:start w:w="100" w:type="dxa"/>
              <w:end w:w="100" w:type="dxa"/>
            </w:tcMar>
          </w:tcPr>
          <w:p>
            <w:pPr>
              <w:spacing w:before="0" w:after="0" w:line="252" w:lineRule="auto"/>
            </w:pPr>
            <w:r>
              <w:rPr>
                <w:sz w:val="17"/>
              </w:rPr>
              <w:t>GRM-001</w:t>
            </w:r>
          </w:p>
        </w:tc>
        <w:tc>
          <w:tcPr>
            <w:tcW w:type="dxa" w:w="1100"/>
            <w:vAlign w:val="center"/>
            <w:tcMar>
              <w:top w:w="70" w:type="dxa"/>
              <w:bottom w:w="70" w:type="dxa"/>
              <w:start w:w="100" w:type="dxa"/>
              <w:end w:w="100" w:type="dxa"/>
            </w:tcMar>
          </w:tcPr>
          <w:p>
            <w:pPr>
              <w:spacing w:before="0" w:after="0" w:line="252" w:lineRule="auto"/>
            </w:pPr>
            <w:r>
              <w:rPr>
                <w:sz w:val="17"/>
              </w:rPr>
              <w:t>1.1</w:t>
            </w:r>
          </w:p>
        </w:tc>
        <w:tc>
          <w:tcPr>
            <w:tcW w:type="dxa" w:w="3390"/>
            <w:vAlign w:val="center"/>
            <w:tcMar>
              <w:top w:w="70" w:type="dxa"/>
              <w:bottom w:w="70" w:type="dxa"/>
              <w:start w:w="100" w:type="dxa"/>
              <w:end w:w="100" w:type="dxa"/>
            </w:tcMar>
          </w:tcPr>
          <w:p>
            <w:pPr>
              <w:spacing w:before="0" w:after="0" w:line="252" w:lineRule="auto"/>
            </w:pPr>
            <w:r>
              <w:rPr>
                <w:sz w:val="17"/>
              </w:rPr>
              <w:t>CDD-009</w:t>
            </w:r>
          </w:p>
        </w:tc>
      </w:tr>
    </w:tbl>
    <w:p>
      <w:pPr>
        <w:spacing w:after="0"/>
      </w:pPr>
    </w:p>
    <w:p>
      <w:pPr>
        <w:pStyle w:val="Heading1"/>
      </w:pPr>
      <w:r>
        <w:t>VII. Logical, Physical &amp; Persistence Models</w:t>
      </w:r>
    </w:p>
    <w:p>
      <w:r>
        <w:t>The Logical Model v1.3 defines canonical entities and relationships. The Physical Model v1.3 defines canonical tables, columns, constraints, and relationships. Neither may be changed by an implementation CDD. Migration scripts and ORM mappings implement the Physical Model; they do not replace it.</w:t>
      </w:r>
    </w:p>
    <w:p>
      <w:r>
        <w:t>CAM-001 defines how qualifying evaluation outcomes map to canonical outcomes. PMM-001 assigns every persisted table exactly one role and keeps canonical outcome projections read-only until a governed projection contract authorizes a writer.</w:t>
      </w:r>
    </w:p>
    <w:p>
      <w:pPr>
        <w:pStyle w:val="Heading1"/>
      </w:pPr>
      <w:r>
        <w:t>VIII. Enterprise Attribute Dictionary (EAD-001)</w:t>
      </w:r>
    </w:p>
    <w:p>
      <w:r>
        <w:t>EAD-001 v1.3 is the authoritative source for canonical attributes. Implementations must not invent, rename, reinterpret, or infer canonical attributes from datasets or implementation convenience.</w:t>
      </w:r>
    </w:p>
    <w:p>
      <w:pPr>
        <w:pStyle w:val="Heading1"/>
      </w:pPr>
      <w:r>
        <w:t>IX. Technology Architecture (TAS-001)</w:t>
      </w:r>
    </w:p>
    <w:p>
      <w:r>
        <w:t>TAS-001 Part 1 constrains the prototype technology architecture. The approved baseline uses PostgreSQL, SQLAlchemy, Alembic, FastAPI, React/Next.js, Docker, and OpenAPI. Technology choices outside TAS-001 require architecture approval.</w:t>
      </w:r>
    </w:p>
    <w:p>
      <w:pPr>
        <w:pStyle w:val="Heading1"/>
      </w:pPr>
      <w:r>
        <w:t>X. Codex Development Standard (CDS-001)</w:t>
      </w:r>
    </w:p>
    <w:p>
      <w:r>
        <w:t>CDS-001 v1.3 governs engineering execution. Every CDD must implement only its assigned capability, use the applicable authorization sections, obey frozen RFCs and BCS boundaries, perform the mandatory architecture drift check, and stop on unresolved ambiguity. CDD Template v2.1 is the current template.</w:t>
      </w:r>
    </w:p>
    <w:p>
      <w:pPr>
        <w:pStyle w:val="Heading1"/>
      </w:pPr>
      <w:r>
        <w:t>XI. Current Approved Architecture</w:t>
      </w:r>
    </w:p>
    <w:p>
      <w:r>
        <w:t>The foundation and cognitive capability chain below is the current approved architecture. It is not a future roadmap and does not authorize capabilities beyond the listed frozen specifications and CDDs.</w:t>
      </w:r>
    </w:p>
    <w:tbl>
      <w:tblPr>
        <w:tblStyle w:val="TableGrid"/>
        <w:tblW w:type="dxa" w:w="8640"/>
        <w:jc w:val="left"/>
        <w:tblLayout w:type="fixed"/>
        <w:tblLook w:firstColumn="1" w:firstRow="1" w:lastColumn="0" w:lastRow="0" w:noHBand="0" w:noVBand="1" w:val="04A0"/>
      </w:tblPr>
      <w:tblGrid>
        <w:gridCol w:w="1800"/>
        <w:gridCol w:w="5000"/>
        <w:gridCol w:w="1840"/>
      </w:tblGrid>
      <w:tr>
        <w:trPr>
          <w:cantSplit/>
          <w:tblHeader w:val="true"/>
        </w:trPr>
        <w:tc>
          <w:tcPr>
            <w:tcW w:type="dxa" w:w="1800"/>
            <w:vAlign w:val="center"/>
            <w:tcMar>
              <w:top w:w="70" w:type="dxa"/>
              <w:bottom w:w="70" w:type="dxa"/>
              <w:start w:w="100" w:type="dxa"/>
              <w:end w:w="100" w:type="dxa"/>
            </w:tcMar>
            <w:shd w:fill="D9EAF7"/>
          </w:tcPr>
          <w:p>
            <w:pPr>
              <w:spacing w:before="0" w:after="0" w:line="252" w:lineRule="auto"/>
            </w:pPr>
            <w:r>
              <w:rPr>
                <w:b/>
                <w:color w:val="1F4E79"/>
                <w:sz w:val="17"/>
              </w:rPr>
              <w:t>Layer</w:t>
            </w:r>
          </w:p>
        </w:tc>
        <w:tc>
          <w:tcPr>
            <w:tcW w:type="dxa" w:w="5000"/>
            <w:vAlign w:val="center"/>
            <w:tcMar>
              <w:top w:w="70" w:type="dxa"/>
              <w:bottom w:w="70" w:type="dxa"/>
              <w:start w:w="100" w:type="dxa"/>
              <w:end w:w="100" w:type="dxa"/>
            </w:tcMar>
            <w:shd w:fill="D9EAF7"/>
          </w:tcPr>
          <w:p>
            <w:pPr>
              <w:spacing w:before="0" w:after="0" w:line="252" w:lineRule="auto"/>
            </w:pPr>
            <w:r>
              <w:rPr>
                <w:b/>
                <w:color w:val="1F4E79"/>
                <w:sz w:val="17"/>
              </w:rPr>
              <w:t>Approved Scope</w:t>
            </w:r>
          </w:p>
        </w:tc>
        <w:tc>
          <w:tcPr>
            <w:tcW w:type="dxa" w:w="1840"/>
            <w:vAlign w:val="center"/>
            <w:tcMar>
              <w:top w:w="70" w:type="dxa"/>
              <w:bottom w:w="70" w:type="dxa"/>
              <w:start w:w="100" w:type="dxa"/>
              <w:end w:w="100" w:type="dxa"/>
            </w:tcMar>
            <w:shd w:fill="D9EAF7"/>
          </w:tcPr>
          <w:p>
            <w:pPr>
              <w:spacing w:before="0" w:after="0" w:line="252" w:lineRule="auto"/>
            </w:pPr>
            <w:r>
              <w:rPr>
                <w:b/>
                <w:color w:val="1F4E79"/>
                <w:sz w:val="17"/>
              </w:rPr>
              <w:t>Status</w:t>
            </w:r>
          </w:p>
        </w:tc>
      </w:tr>
      <w:tr>
        <w:trPr>
          <w:cantSplit/>
        </w:trPr>
        <w:tc>
          <w:tcPr>
            <w:tcW w:type="dxa" w:w="1800"/>
            <w:vAlign w:val="center"/>
            <w:tcMar>
              <w:top w:w="70" w:type="dxa"/>
              <w:bottom w:w="70" w:type="dxa"/>
              <w:start w:w="100" w:type="dxa"/>
              <w:end w:w="100" w:type="dxa"/>
            </w:tcMar>
          </w:tcPr>
          <w:p>
            <w:pPr>
              <w:spacing w:before="0" w:after="0" w:line="252" w:lineRule="auto"/>
            </w:pPr>
            <w:r>
              <w:rPr>
                <w:sz w:val="17"/>
              </w:rPr>
              <w:t>Foundation</w:t>
            </w:r>
          </w:p>
        </w:tc>
        <w:tc>
          <w:tcPr>
            <w:tcW w:type="dxa" w:w="5000"/>
            <w:vAlign w:val="center"/>
            <w:tcMar>
              <w:top w:w="70" w:type="dxa"/>
              <w:bottom w:w="70" w:type="dxa"/>
              <w:start w:w="100" w:type="dxa"/>
              <w:end w:w="100" w:type="dxa"/>
            </w:tcMar>
          </w:tcPr>
          <w:p>
            <w:pPr>
              <w:spacing w:before="0" w:after="0" w:line="252" w:lineRule="auto"/>
            </w:pPr>
            <w:r>
              <w:rPr>
                <w:sz w:val="17"/>
              </w:rPr>
              <w:t>CDD-001 Project Foundation; CDD-002 Persistence; CDD-003 Revision 2 CEO</w:t>
            </w:r>
          </w:p>
        </w:tc>
        <w:tc>
          <w:tcPr>
            <w:tcW w:type="dxa" w:w="1840"/>
            <w:vAlign w:val="center"/>
            <w:tcMar>
              <w:top w:w="70" w:type="dxa"/>
              <w:bottom w:w="70" w:type="dxa"/>
              <w:start w:w="100" w:type="dxa"/>
              <w:end w:w="100" w:type="dxa"/>
            </w:tcMar>
          </w:tcPr>
          <w:p>
            <w:pPr>
              <w:spacing w:before="0" w:after="0" w:line="252" w:lineRule="auto"/>
            </w:pPr>
            <w:r>
              <w:rPr>
                <w:sz w:val="17"/>
              </w:rPr>
              <w:t>Frozen</w:t>
            </w:r>
          </w:p>
        </w:tc>
      </w:tr>
      <w:tr>
        <w:trPr>
          <w:cantSplit/>
        </w:trPr>
        <w:tc>
          <w:tcPr>
            <w:tcW w:type="dxa" w:w="1800"/>
            <w:vAlign w:val="center"/>
            <w:tcMar>
              <w:top w:w="70" w:type="dxa"/>
              <w:bottom w:w="70" w:type="dxa"/>
              <w:start w:w="100" w:type="dxa"/>
              <w:end w:w="100" w:type="dxa"/>
            </w:tcMar>
          </w:tcPr>
          <w:p>
            <w:pPr>
              <w:spacing w:before="0" w:after="0" w:line="252" w:lineRule="auto"/>
            </w:pPr>
            <w:r>
              <w:rPr>
                <w:sz w:val="17"/>
              </w:rPr>
              <w:t>Identity</w:t>
            </w:r>
          </w:p>
        </w:tc>
        <w:tc>
          <w:tcPr>
            <w:tcW w:type="dxa" w:w="5000"/>
            <w:vAlign w:val="center"/>
            <w:tcMar>
              <w:top w:w="70" w:type="dxa"/>
              <w:bottom w:w="70" w:type="dxa"/>
              <w:start w:w="100" w:type="dxa"/>
              <w:end w:w="100" w:type="dxa"/>
            </w:tcMar>
          </w:tcPr>
          <w:p>
            <w:pPr>
              <w:spacing w:before="0" w:after="0" w:line="252" w:lineRule="auto"/>
            </w:pPr>
            <w:r>
              <w:rPr>
                <w:sz w:val="17"/>
              </w:rPr>
              <w:t>CDD-004 implementing ERM-001</w:t>
            </w:r>
          </w:p>
        </w:tc>
        <w:tc>
          <w:tcPr>
            <w:tcW w:type="dxa" w:w="1840"/>
            <w:vAlign w:val="center"/>
            <w:tcMar>
              <w:top w:w="70" w:type="dxa"/>
              <w:bottom w:w="70" w:type="dxa"/>
              <w:start w:w="100" w:type="dxa"/>
              <w:end w:w="100" w:type="dxa"/>
            </w:tcMar>
          </w:tcPr>
          <w:p>
            <w:pPr>
              <w:spacing w:before="0" w:after="0" w:line="252" w:lineRule="auto"/>
            </w:pPr>
            <w:r>
              <w:rPr>
                <w:sz w:val="17"/>
              </w:rPr>
              <w:t>Implemented / Frozen</w:t>
            </w:r>
          </w:p>
        </w:tc>
      </w:tr>
      <w:tr>
        <w:trPr>
          <w:cantSplit/>
        </w:trPr>
        <w:tc>
          <w:tcPr>
            <w:tcW w:type="dxa" w:w="1800"/>
            <w:vAlign w:val="center"/>
            <w:tcMar>
              <w:top w:w="70" w:type="dxa"/>
              <w:bottom w:w="70" w:type="dxa"/>
              <w:start w:w="100" w:type="dxa"/>
              <w:end w:w="100" w:type="dxa"/>
            </w:tcMar>
          </w:tcPr>
          <w:p>
            <w:pPr>
              <w:spacing w:before="0" w:after="0" w:line="252" w:lineRule="auto"/>
            </w:pPr>
            <w:r>
              <w:rPr>
                <w:sz w:val="17"/>
              </w:rPr>
              <w:t>Semantics</w:t>
            </w:r>
          </w:p>
        </w:tc>
        <w:tc>
          <w:tcPr>
            <w:tcW w:type="dxa" w:w="5000"/>
            <w:vAlign w:val="center"/>
            <w:tcMar>
              <w:top w:w="70" w:type="dxa"/>
              <w:bottom w:w="70" w:type="dxa"/>
              <w:start w:w="100" w:type="dxa"/>
              <w:end w:w="100" w:type="dxa"/>
            </w:tcMar>
          </w:tcPr>
          <w:p>
            <w:pPr>
              <w:spacing w:before="0" w:after="0" w:line="252" w:lineRule="auto"/>
            </w:pPr>
            <w:r>
              <w:rPr>
                <w:sz w:val="17"/>
              </w:rPr>
              <w:t>CDD-005 implementing SRM-001</w:t>
            </w:r>
          </w:p>
        </w:tc>
        <w:tc>
          <w:tcPr>
            <w:tcW w:type="dxa" w:w="1840"/>
            <w:vAlign w:val="center"/>
            <w:tcMar>
              <w:top w:w="70" w:type="dxa"/>
              <w:bottom w:w="70" w:type="dxa"/>
              <w:start w:w="100" w:type="dxa"/>
              <w:end w:w="100" w:type="dxa"/>
            </w:tcMar>
          </w:tcPr>
          <w:p>
            <w:pPr>
              <w:spacing w:before="0" w:after="0" w:line="252" w:lineRule="auto"/>
            </w:pPr>
            <w:r>
              <w:rPr>
                <w:sz w:val="17"/>
              </w:rPr>
              <w:t>Implemented / Frozen</w:t>
            </w:r>
          </w:p>
        </w:tc>
      </w:tr>
      <w:tr>
        <w:trPr>
          <w:cantSplit/>
        </w:trPr>
        <w:tc>
          <w:tcPr>
            <w:tcW w:type="dxa" w:w="1800"/>
            <w:vAlign w:val="center"/>
            <w:tcMar>
              <w:top w:w="70" w:type="dxa"/>
              <w:bottom w:w="70" w:type="dxa"/>
              <w:start w:w="100" w:type="dxa"/>
              <w:end w:w="100" w:type="dxa"/>
            </w:tcMar>
          </w:tcPr>
          <w:p>
            <w:pPr>
              <w:spacing w:before="0" w:after="0" w:line="252" w:lineRule="auto"/>
            </w:pPr>
            <w:r>
              <w:rPr>
                <w:sz w:val="17"/>
              </w:rPr>
              <w:t>Assertion</w:t>
            </w:r>
          </w:p>
        </w:tc>
        <w:tc>
          <w:tcPr>
            <w:tcW w:type="dxa" w:w="5000"/>
            <w:vAlign w:val="center"/>
            <w:tcMar>
              <w:top w:w="70" w:type="dxa"/>
              <w:bottom w:w="70" w:type="dxa"/>
              <w:start w:w="100" w:type="dxa"/>
              <w:end w:w="100" w:type="dxa"/>
            </w:tcMar>
          </w:tcPr>
          <w:p>
            <w:pPr>
              <w:spacing w:before="0" w:after="0" w:line="252" w:lineRule="auto"/>
            </w:pPr>
            <w:r>
              <w:rPr>
                <w:sz w:val="17"/>
              </w:rPr>
              <w:t>CDD-006 implementing ASM-001</w:t>
            </w:r>
          </w:p>
        </w:tc>
        <w:tc>
          <w:tcPr>
            <w:tcW w:type="dxa" w:w="1840"/>
            <w:vAlign w:val="center"/>
            <w:tcMar>
              <w:top w:w="70" w:type="dxa"/>
              <w:bottom w:w="70" w:type="dxa"/>
              <w:start w:w="100" w:type="dxa"/>
              <w:end w:w="100" w:type="dxa"/>
            </w:tcMar>
          </w:tcPr>
          <w:p>
            <w:pPr>
              <w:spacing w:before="0" w:after="0" w:line="252" w:lineRule="auto"/>
            </w:pPr>
            <w:r>
              <w:rPr>
                <w:sz w:val="17"/>
              </w:rPr>
              <w:t>Implemented / Frozen</w:t>
            </w:r>
          </w:p>
        </w:tc>
      </w:tr>
      <w:tr>
        <w:trPr>
          <w:cantSplit/>
        </w:trPr>
        <w:tc>
          <w:tcPr>
            <w:tcW w:type="dxa" w:w="1800"/>
            <w:vAlign w:val="center"/>
            <w:tcMar>
              <w:top w:w="70" w:type="dxa"/>
              <w:bottom w:w="70" w:type="dxa"/>
              <w:start w:w="100" w:type="dxa"/>
              <w:end w:w="100" w:type="dxa"/>
            </w:tcMar>
          </w:tcPr>
          <w:p>
            <w:pPr>
              <w:spacing w:before="0" w:after="0" w:line="252" w:lineRule="auto"/>
            </w:pPr>
            <w:r>
              <w:rPr>
                <w:sz w:val="17"/>
              </w:rPr>
              <w:t>Knowledge</w:t>
            </w:r>
          </w:p>
        </w:tc>
        <w:tc>
          <w:tcPr>
            <w:tcW w:type="dxa" w:w="5000"/>
            <w:vAlign w:val="center"/>
            <w:tcMar>
              <w:top w:w="70" w:type="dxa"/>
              <w:bottom w:w="70" w:type="dxa"/>
              <w:start w:w="100" w:type="dxa"/>
              <w:end w:w="100" w:type="dxa"/>
            </w:tcMar>
          </w:tcPr>
          <w:p>
            <w:pPr>
              <w:spacing w:before="0" w:after="0" w:line="252" w:lineRule="auto"/>
            </w:pPr>
            <w:r>
              <w:rPr>
                <w:sz w:val="17"/>
              </w:rPr>
              <w:t>CDD-007 implementing KRM-001 and consuming AEM-001</w:t>
            </w:r>
          </w:p>
        </w:tc>
        <w:tc>
          <w:tcPr>
            <w:tcW w:type="dxa" w:w="1840"/>
            <w:vAlign w:val="center"/>
            <w:tcMar>
              <w:top w:w="70" w:type="dxa"/>
              <w:bottom w:w="70" w:type="dxa"/>
              <w:start w:w="100" w:type="dxa"/>
              <w:end w:w="100" w:type="dxa"/>
            </w:tcMar>
          </w:tcPr>
          <w:p>
            <w:pPr>
              <w:spacing w:before="0" w:after="0" w:line="252" w:lineRule="auto"/>
            </w:pPr>
            <w:r>
              <w:rPr>
                <w:sz w:val="17"/>
              </w:rPr>
              <w:t>Implemented / Frozen</w:t>
            </w:r>
          </w:p>
        </w:tc>
      </w:tr>
      <w:tr>
        <w:trPr>
          <w:cantSplit/>
        </w:trPr>
        <w:tc>
          <w:tcPr>
            <w:tcW w:type="dxa" w:w="1800"/>
            <w:vAlign w:val="center"/>
            <w:tcMar>
              <w:top w:w="70" w:type="dxa"/>
              <w:bottom w:w="70" w:type="dxa"/>
              <w:start w:w="100" w:type="dxa"/>
              <w:end w:w="100" w:type="dxa"/>
            </w:tcMar>
          </w:tcPr>
          <w:p>
            <w:pPr>
              <w:spacing w:before="0" w:after="0" w:line="252" w:lineRule="auto"/>
            </w:pPr>
            <w:r>
              <w:rPr>
                <w:sz w:val="17"/>
              </w:rPr>
              <w:t>Decision</w:t>
            </w:r>
          </w:p>
        </w:tc>
        <w:tc>
          <w:tcPr>
            <w:tcW w:type="dxa" w:w="5000"/>
            <w:vAlign w:val="center"/>
            <w:tcMar>
              <w:top w:w="70" w:type="dxa"/>
              <w:bottom w:w="70" w:type="dxa"/>
              <w:start w:w="100" w:type="dxa"/>
              <w:end w:w="100" w:type="dxa"/>
            </w:tcMar>
          </w:tcPr>
          <w:p>
            <w:pPr>
              <w:spacing w:before="0" w:after="0" w:line="252" w:lineRule="auto"/>
            </w:pPr>
            <w:r>
              <w:rPr>
                <w:sz w:val="17"/>
              </w:rPr>
              <w:t>CDD-008 implementing DRM-001</w:t>
            </w:r>
          </w:p>
        </w:tc>
        <w:tc>
          <w:tcPr>
            <w:tcW w:type="dxa" w:w="1840"/>
            <w:vAlign w:val="center"/>
            <w:tcMar>
              <w:top w:w="70" w:type="dxa"/>
              <w:bottom w:w="70" w:type="dxa"/>
              <w:start w:w="100" w:type="dxa"/>
              <w:end w:w="100" w:type="dxa"/>
            </w:tcMar>
          </w:tcPr>
          <w:p>
            <w:pPr>
              <w:spacing w:before="0" w:after="0" w:line="252" w:lineRule="auto"/>
            </w:pPr>
            <w:r>
              <w:rPr>
                <w:sz w:val="17"/>
              </w:rPr>
              <w:t>Implemented / Frozen</w:t>
            </w:r>
          </w:p>
        </w:tc>
      </w:tr>
      <w:tr>
        <w:trPr>
          <w:cantSplit/>
        </w:trPr>
        <w:tc>
          <w:tcPr>
            <w:tcW w:type="dxa" w:w="1800"/>
            <w:vAlign w:val="center"/>
            <w:tcMar>
              <w:top w:w="70" w:type="dxa"/>
              <w:bottom w:w="70" w:type="dxa"/>
              <w:start w:w="100" w:type="dxa"/>
              <w:end w:w="100" w:type="dxa"/>
            </w:tcMar>
          </w:tcPr>
          <w:p>
            <w:pPr>
              <w:spacing w:before="0" w:after="0" w:line="252" w:lineRule="auto"/>
            </w:pPr>
            <w:r>
              <w:rPr>
                <w:sz w:val="17"/>
              </w:rPr>
              <w:t>Governance Evaluation</w:t>
            </w:r>
          </w:p>
        </w:tc>
        <w:tc>
          <w:tcPr>
            <w:tcW w:type="dxa" w:w="5000"/>
            <w:vAlign w:val="center"/>
            <w:tcMar>
              <w:top w:w="70" w:type="dxa"/>
              <w:bottom w:w="70" w:type="dxa"/>
              <w:start w:w="100" w:type="dxa"/>
              <w:end w:w="100" w:type="dxa"/>
            </w:tcMar>
          </w:tcPr>
          <w:p>
            <w:pPr>
              <w:spacing w:before="0" w:after="0" w:line="252" w:lineRule="auto"/>
            </w:pPr>
            <w:r>
              <w:rPr>
                <w:sz w:val="17"/>
              </w:rPr>
              <w:t>CDD-009 implementing GRM-001 and consuming GEM-001</w:t>
            </w:r>
          </w:p>
        </w:tc>
        <w:tc>
          <w:tcPr>
            <w:tcW w:type="dxa" w:w="1840"/>
            <w:vAlign w:val="center"/>
            <w:tcMar>
              <w:top w:w="70" w:type="dxa"/>
              <w:bottom w:w="70" w:type="dxa"/>
              <w:start w:w="100" w:type="dxa"/>
              <w:end w:w="100" w:type="dxa"/>
            </w:tcMar>
          </w:tcPr>
          <w:p>
            <w:pPr>
              <w:spacing w:before="0" w:after="0" w:line="252" w:lineRule="auto"/>
            </w:pPr>
            <w:r>
              <w:rPr>
                <w:sz w:val="17"/>
              </w:rPr>
              <w:t>Implemented / Frozen</w:t>
            </w:r>
          </w:p>
        </w:tc>
      </w:tr>
      <w:tr>
        <w:trPr>
          <w:cantSplit/>
        </w:trPr>
        <w:tc>
          <w:tcPr>
            <w:tcW w:type="dxa" w:w="1800"/>
            <w:vAlign w:val="center"/>
            <w:tcMar>
              <w:top w:w="70" w:type="dxa"/>
              <w:bottom w:w="70" w:type="dxa"/>
              <w:start w:w="100" w:type="dxa"/>
              <w:end w:w="100" w:type="dxa"/>
            </w:tcMar>
          </w:tcPr>
          <w:p>
            <w:pPr>
              <w:spacing w:before="0" w:after="0" w:line="252" w:lineRule="auto"/>
            </w:pPr>
            <w:r>
              <w:rPr>
                <w:sz w:val="17"/>
              </w:rPr>
              <w:t>Runtime boundary</w:t>
            </w:r>
          </w:p>
        </w:tc>
        <w:tc>
          <w:tcPr>
            <w:tcW w:type="dxa" w:w="5000"/>
            <w:vAlign w:val="center"/>
            <w:tcMar>
              <w:top w:w="70" w:type="dxa"/>
              <w:bottom w:w="70" w:type="dxa"/>
              <w:start w:w="100" w:type="dxa"/>
              <w:end w:w="100" w:type="dxa"/>
            </w:tcMar>
          </w:tcPr>
          <w:p>
            <w:pPr>
              <w:spacing w:before="0" w:after="0" w:line="252" w:lineRule="auto"/>
            </w:pPr>
            <w:r>
              <w:rPr>
                <w:sz w:val="17"/>
              </w:rPr>
              <w:t>EIC-001, EOM-001, ESM-001, PAD-001</w:t>
            </w:r>
          </w:p>
        </w:tc>
        <w:tc>
          <w:tcPr>
            <w:tcW w:type="dxa" w:w="1840"/>
            <w:vAlign w:val="center"/>
            <w:tcMar>
              <w:top w:w="70" w:type="dxa"/>
              <w:bottom w:w="70" w:type="dxa"/>
              <w:start w:w="100" w:type="dxa"/>
              <w:end w:w="100" w:type="dxa"/>
            </w:tcMar>
          </w:tcPr>
          <w:p>
            <w:pPr>
              <w:spacing w:before="0" w:after="0" w:line="252" w:lineRule="auto"/>
            </w:pPr>
            <w:r>
              <w:rPr>
                <w:sz w:val="17"/>
              </w:rPr>
              <w:t>Architecture Frozen</w:t>
            </w:r>
          </w:p>
        </w:tc>
      </w:tr>
    </w:tbl>
    <w:p>
      <w:pPr>
        <w:spacing w:after="0"/>
      </w:pPr>
    </w:p>
    <w:p>
      <w:pPr>
        <w:keepLines/>
        <w:spacing w:before="80" w:after="160" w:line="240" w:lineRule="auto"/>
        <w:ind w:left="360" w:right="360"/>
        <w:shd w:fill="F2F4F7"/>
      </w:pPr>
      <w:r>
        <w:rPr>
          <w:rFonts w:ascii="Courier New" w:hAnsi="Courier New"/>
          <w:sz w:val="18"/>
        </w:rPr>
        <w:t>Source Object</w:t>
      </w:r>
      <w:r>
        <w:br/>
      </w:r>
      <w:r>
        <w:rPr>
          <w:rFonts w:ascii="Courier New" w:hAnsi="Courier New"/>
          <w:sz w:val="18"/>
        </w:rPr>
        <w:t xml:space="preserve">     |</w:t>
      </w:r>
      <w:r>
        <w:br/>
      </w:r>
      <w:r>
        <w:rPr>
          <w:rFonts w:ascii="Courier New" w:hAnsi="Courier New"/>
          <w:sz w:val="18"/>
        </w:rPr>
        <w:t>Identity Resolution -&gt; Semantic Resolution -&gt; Assertion</w:t>
      </w:r>
      <w:r>
        <w:br/>
      </w:r>
      <w:r>
        <w:rPr>
          <w:rFonts w:ascii="Courier New" w:hAnsi="Courier New"/>
          <w:sz w:val="18"/>
        </w:rPr>
        <w:t xml:space="preserve">     -&gt; Knowledge Evaluation -&gt; Decision Evaluation -&gt; Governance Evaluation</w:t>
      </w:r>
    </w:p>
    <w:p>
      <w:r>
        <w:t>Each arrow is a governed dependency, not permission to bypass the preceding capability. Candidate source data cannot become an Assertion without Enterprise Entity Resolution and Semantic Resolution.</w:t>
      </w:r>
    </w:p>
    <w:p>
      <w:pPr>
        <w:pStyle w:val="Heading1"/>
      </w:pPr>
      <w:r>
        <w:t>XII. Runtime Architecture</w:t>
      </w:r>
    </w:p>
    <w:p>
      <w:r>
        <w:t>The runtime architecture is complete at the architectural level and divided into three non-overlapping responsibilities.</w:t>
      </w:r>
    </w:p>
    <w:tbl>
      <w:tblPr>
        <w:tblStyle w:val="TableGrid"/>
        <w:tblW w:type="dxa" w:w="8640"/>
        <w:jc w:val="left"/>
        <w:tblLayout w:type="fixed"/>
        <w:tblLook w:firstColumn="1" w:firstRow="1" w:lastColumn="0" w:lastRow="0" w:noHBand="0" w:noVBand="1" w:val="04A0"/>
      </w:tblPr>
      <w:tblGrid>
        <w:gridCol w:w="1600"/>
        <w:gridCol w:w="2600"/>
        <w:gridCol w:w="4440"/>
      </w:tblGrid>
      <w:tr>
        <w:trPr>
          <w:cantSplit/>
          <w:tblHeader w:val="true"/>
        </w:trPr>
        <w:tc>
          <w:tcPr>
            <w:tcW w:type="dxa" w:w="1600"/>
            <w:vAlign w:val="center"/>
            <w:tcMar>
              <w:top w:w="70" w:type="dxa"/>
              <w:bottom w:w="70" w:type="dxa"/>
              <w:start w:w="100" w:type="dxa"/>
              <w:end w:w="100" w:type="dxa"/>
            </w:tcMar>
            <w:shd w:fill="D9EAF7"/>
          </w:tcPr>
          <w:p>
            <w:pPr>
              <w:spacing w:before="0" w:after="0" w:line="252" w:lineRule="auto"/>
            </w:pPr>
            <w:r>
              <w:rPr>
                <w:b/>
                <w:color w:val="1F4E79"/>
                <w:sz w:val="17"/>
              </w:rPr>
              <w:t>Artifact</w:t>
            </w:r>
          </w:p>
        </w:tc>
        <w:tc>
          <w:tcPr>
            <w:tcW w:type="dxa" w:w="2600"/>
            <w:vAlign w:val="center"/>
            <w:tcMar>
              <w:top w:w="70" w:type="dxa"/>
              <w:bottom w:w="70" w:type="dxa"/>
              <w:start w:w="100" w:type="dxa"/>
              <w:end w:w="100" w:type="dxa"/>
            </w:tcMar>
            <w:shd w:fill="D9EAF7"/>
          </w:tcPr>
          <w:p>
            <w:pPr>
              <w:spacing w:before="0" w:after="0" w:line="252" w:lineRule="auto"/>
            </w:pPr>
            <w:r>
              <w:rPr>
                <w:b/>
                <w:color w:val="1F4E79"/>
                <w:sz w:val="17"/>
              </w:rPr>
              <w:t>Owns</w:t>
            </w:r>
          </w:p>
        </w:tc>
        <w:tc>
          <w:tcPr>
            <w:tcW w:type="dxa" w:w="4440"/>
            <w:vAlign w:val="center"/>
            <w:tcMar>
              <w:top w:w="70" w:type="dxa"/>
              <w:bottom w:w="70" w:type="dxa"/>
              <w:start w:w="100" w:type="dxa"/>
              <w:end w:w="100" w:type="dxa"/>
            </w:tcMar>
            <w:shd w:fill="D9EAF7"/>
          </w:tcPr>
          <w:p>
            <w:pPr>
              <w:spacing w:before="0" w:after="0" w:line="252" w:lineRule="auto"/>
            </w:pPr>
            <w:r>
              <w:rPr>
                <w:b/>
                <w:color w:val="1F4E79"/>
                <w:sz w:val="17"/>
              </w:rPr>
              <w:t>Boundary</w:t>
            </w:r>
          </w:p>
        </w:tc>
      </w:tr>
      <w:tr>
        <w:trPr>
          <w:cantSplit/>
        </w:trPr>
        <w:tc>
          <w:tcPr>
            <w:tcW w:type="dxa" w:w="1600"/>
            <w:vAlign w:val="center"/>
            <w:tcMar>
              <w:top w:w="70" w:type="dxa"/>
              <w:bottom w:w="70" w:type="dxa"/>
              <w:start w:w="100" w:type="dxa"/>
              <w:end w:w="100" w:type="dxa"/>
            </w:tcMar>
          </w:tcPr>
          <w:p>
            <w:pPr>
              <w:spacing w:before="0" w:after="0" w:line="252" w:lineRule="auto"/>
            </w:pPr>
            <w:r>
              <w:rPr>
                <w:sz w:val="17"/>
              </w:rPr>
              <w:t>EIC-001 v1.1</w:t>
            </w:r>
          </w:p>
        </w:tc>
        <w:tc>
          <w:tcPr>
            <w:tcW w:type="dxa" w:w="2600"/>
            <w:vAlign w:val="center"/>
            <w:tcMar>
              <w:top w:w="70" w:type="dxa"/>
              <w:bottom w:w="70" w:type="dxa"/>
              <w:start w:w="100" w:type="dxa"/>
              <w:end w:w="100" w:type="dxa"/>
            </w:tcMar>
          </w:tcPr>
          <w:p>
            <w:pPr>
              <w:spacing w:before="0" w:after="0" w:line="252" w:lineRule="auto"/>
            </w:pPr>
            <w:r>
              <w:rPr>
                <w:sz w:val="17"/>
              </w:rPr>
              <w:t>Engine invocation</w:t>
            </w:r>
          </w:p>
        </w:tc>
        <w:tc>
          <w:tcPr>
            <w:tcW w:type="dxa" w:w="4440"/>
            <w:vAlign w:val="center"/>
            <w:tcMar>
              <w:top w:w="70" w:type="dxa"/>
              <w:bottom w:w="70" w:type="dxa"/>
              <w:start w:w="100" w:type="dxa"/>
              <w:end w:w="100" w:type="dxa"/>
            </w:tcMar>
          </w:tcPr>
          <w:p>
            <w:pPr>
              <w:spacing w:before="0" w:after="0" w:line="252" w:lineRule="auto"/>
            </w:pPr>
            <w:r>
              <w:rPr>
                <w:sz w:val="17"/>
              </w:rPr>
              <w:t>Exactly one consumer-facing invocation boundary.</w:t>
            </w:r>
          </w:p>
        </w:tc>
      </w:tr>
      <w:tr>
        <w:trPr>
          <w:cantSplit/>
        </w:trPr>
        <w:tc>
          <w:tcPr>
            <w:tcW w:type="dxa" w:w="1600"/>
            <w:vAlign w:val="center"/>
            <w:tcMar>
              <w:top w:w="70" w:type="dxa"/>
              <w:bottom w:w="70" w:type="dxa"/>
              <w:start w:w="100" w:type="dxa"/>
              <w:end w:w="100" w:type="dxa"/>
            </w:tcMar>
          </w:tcPr>
          <w:p>
            <w:pPr>
              <w:spacing w:before="0" w:after="0" w:line="252" w:lineRule="auto"/>
            </w:pPr>
            <w:r>
              <w:rPr>
                <w:sz w:val="17"/>
              </w:rPr>
              <w:t>EOM-001 v1.1</w:t>
            </w:r>
          </w:p>
        </w:tc>
        <w:tc>
          <w:tcPr>
            <w:tcW w:type="dxa" w:w="2600"/>
            <w:vAlign w:val="center"/>
            <w:tcMar>
              <w:top w:w="70" w:type="dxa"/>
              <w:bottom w:w="70" w:type="dxa"/>
              <w:start w:w="100" w:type="dxa"/>
              <w:end w:w="100" w:type="dxa"/>
            </w:tcMar>
          </w:tcPr>
          <w:p>
            <w:pPr>
              <w:spacing w:before="0" w:after="0" w:line="252" w:lineRule="auto"/>
            </w:pPr>
            <w:r>
              <w:rPr>
                <w:sz w:val="17"/>
              </w:rPr>
              <w:t>Execution orchestration</w:t>
            </w:r>
          </w:p>
        </w:tc>
        <w:tc>
          <w:tcPr>
            <w:tcW w:type="dxa" w:w="4440"/>
            <w:vAlign w:val="center"/>
            <w:tcMar>
              <w:top w:w="70" w:type="dxa"/>
              <w:bottom w:w="70" w:type="dxa"/>
              <w:start w:w="100" w:type="dxa"/>
              <w:end w:w="100" w:type="dxa"/>
            </w:tcMar>
          </w:tcPr>
          <w:p>
            <w:pPr>
              <w:spacing w:before="0" w:after="0" w:line="252" w:lineRule="auto"/>
            </w:pPr>
            <w:r>
              <w:rPr>
                <w:sz w:val="17"/>
              </w:rPr>
              <w:t>Coordinates the approved cognitive sequence without exposing internal capabilities.</w:t>
            </w:r>
          </w:p>
        </w:tc>
      </w:tr>
      <w:tr>
        <w:trPr>
          <w:cantSplit/>
        </w:trPr>
        <w:tc>
          <w:tcPr>
            <w:tcW w:type="dxa" w:w="1600"/>
            <w:vAlign w:val="center"/>
            <w:tcMar>
              <w:top w:w="70" w:type="dxa"/>
              <w:bottom w:w="70" w:type="dxa"/>
              <w:start w:w="100" w:type="dxa"/>
              <w:end w:w="100" w:type="dxa"/>
            </w:tcMar>
          </w:tcPr>
          <w:p>
            <w:pPr>
              <w:spacing w:before="0" w:after="0" w:line="252" w:lineRule="auto"/>
            </w:pPr>
            <w:r>
              <w:rPr>
                <w:sz w:val="17"/>
              </w:rPr>
              <w:t>ESM-001 v1.1</w:t>
            </w:r>
          </w:p>
        </w:tc>
        <w:tc>
          <w:tcPr>
            <w:tcW w:type="dxa" w:w="2600"/>
            <w:vAlign w:val="center"/>
            <w:tcMar>
              <w:top w:w="70" w:type="dxa"/>
              <w:bottom w:w="70" w:type="dxa"/>
              <w:start w:w="100" w:type="dxa"/>
              <w:end w:w="100" w:type="dxa"/>
            </w:tcMar>
          </w:tcPr>
          <w:p>
            <w:pPr>
              <w:spacing w:before="0" w:after="0" w:line="252" w:lineRule="auto"/>
            </w:pPr>
            <w:r>
              <w:rPr>
                <w:sz w:val="17"/>
              </w:rPr>
              <w:t>Execution state</w:t>
            </w:r>
          </w:p>
        </w:tc>
        <w:tc>
          <w:tcPr>
            <w:tcW w:type="dxa" w:w="4440"/>
            <w:vAlign w:val="center"/>
            <w:tcMar>
              <w:top w:w="70" w:type="dxa"/>
              <w:bottom w:w="70" w:type="dxa"/>
              <w:start w:w="100" w:type="dxa"/>
              <w:end w:w="100" w:type="dxa"/>
            </w:tcMar>
          </w:tcPr>
          <w:p>
            <w:pPr>
              <w:spacing w:before="0" w:after="0" w:line="252" w:lineRule="auto"/>
            </w:pPr>
            <w:r>
              <w:rPr>
                <w:sz w:val="17"/>
              </w:rPr>
              <w:t>Defines observable execution-state evolution without business semantics.</w:t>
            </w:r>
          </w:p>
        </w:tc>
      </w:tr>
      <w:tr>
        <w:trPr>
          <w:cantSplit/>
        </w:trPr>
        <w:tc>
          <w:tcPr>
            <w:tcW w:type="dxa" w:w="1600"/>
            <w:vAlign w:val="center"/>
            <w:tcMar>
              <w:top w:w="70" w:type="dxa"/>
              <w:bottom w:w="70" w:type="dxa"/>
              <w:start w:w="100" w:type="dxa"/>
              <w:end w:w="100" w:type="dxa"/>
            </w:tcMar>
          </w:tcPr>
          <w:p>
            <w:pPr>
              <w:spacing w:before="0" w:after="0" w:line="252" w:lineRule="auto"/>
            </w:pPr>
            <w:r>
              <w:rPr>
                <w:sz w:val="17"/>
              </w:rPr>
              <w:t>PAD-001 v1.2</w:t>
            </w:r>
          </w:p>
        </w:tc>
        <w:tc>
          <w:tcPr>
            <w:tcW w:type="dxa" w:w="2600"/>
            <w:vAlign w:val="center"/>
            <w:tcMar>
              <w:top w:w="70" w:type="dxa"/>
              <w:bottom w:w="70" w:type="dxa"/>
              <w:start w:w="100" w:type="dxa"/>
              <w:end w:w="100" w:type="dxa"/>
            </w:tcMar>
          </w:tcPr>
          <w:p>
            <w:pPr>
              <w:spacing w:before="0" w:after="0" w:line="252" w:lineRule="auto"/>
            </w:pPr>
            <w:r>
              <w:rPr>
                <w:sz w:val="17"/>
              </w:rPr>
              <w:t>Product access protocol</w:t>
            </w:r>
          </w:p>
        </w:tc>
        <w:tc>
          <w:tcPr>
            <w:tcW w:type="dxa" w:w="4440"/>
            <w:vAlign w:val="center"/>
            <w:tcMar>
              <w:top w:w="70" w:type="dxa"/>
              <w:bottom w:w="70" w:type="dxa"/>
              <w:start w:w="100" w:type="dxa"/>
              <w:end w:w="100" w:type="dxa"/>
            </w:tcMar>
          </w:tcPr>
          <w:p>
            <w:pPr>
              <w:spacing w:before="0" w:after="0" w:line="252" w:lineRule="auto"/>
            </w:pPr>
            <w:r>
              <w:rPr>
                <w:sz w:val="17"/>
              </w:rPr>
              <w:t>Product-facing protocol consumed through the Engine Access Facade.</w:t>
            </w:r>
          </w:p>
        </w:tc>
      </w:tr>
    </w:tbl>
    <w:p>
      <w:pPr>
        <w:spacing w:after="0"/>
      </w:pPr>
    </w:p>
    <w:p>
      <w:pPr>
        <w:keepLines/>
        <w:spacing w:before="80" w:after="160" w:line="240" w:lineRule="auto"/>
        <w:ind w:left="360" w:right="360"/>
        <w:shd w:fill="F2F4F7"/>
      </w:pPr>
      <w:r>
        <w:rPr>
          <w:rFonts w:ascii="Courier New" w:hAnsi="Courier New"/>
          <w:sz w:val="18"/>
        </w:rPr>
        <w:t>Product Layer</w:t>
      </w:r>
      <w:r>
        <w:br/>
      </w:r>
      <w:r>
        <w:rPr>
          <w:rFonts w:ascii="Courier New" w:hAnsi="Courier New"/>
          <w:sz w:val="18"/>
        </w:rPr>
        <w:t xml:space="preserve">      | PAD-001</w:t>
      </w:r>
      <w:r>
        <w:br/>
      </w:r>
      <w:r>
        <w:rPr>
          <w:rFonts w:ascii="Courier New" w:hAnsi="Courier New"/>
          <w:sz w:val="18"/>
        </w:rPr>
        <w:t>Engine Access Facade</w:t>
      </w:r>
      <w:r>
        <w:br/>
      </w:r>
      <w:r>
        <w:rPr>
          <w:rFonts w:ascii="Courier New" w:hAnsi="Courier New"/>
          <w:sz w:val="18"/>
        </w:rPr>
        <w:t xml:space="preserve">      | EIC-001</w:t>
      </w:r>
      <w:r>
        <w:br/>
      </w:r>
      <w:r>
        <w:rPr>
          <w:rFonts w:ascii="Courier New" w:hAnsi="Courier New"/>
          <w:sz w:val="18"/>
        </w:rPr>
        <w:t>Invocation -&gt; EOM-001 Orchestration -&gt; ESM-001 Execution State</w:t>
      </w:r>
      <w:r>
        <w:br/>
      </w:r>
      <w:r>
        <w:rPr>
          <w:rFonts w:ascii="Courier New" w:hAnsi="Courier New"/>
          <w:sz w:val="18"/>
        </w:rPr>
        <w:t xml:space="preserve">      |</w:t>
      </w:r>
      <w:r>
        <w:br/>
      </w:r>
      <w:r>
        <w:rPr>
          <w:rFonts w:ascii="Courier New" w:hAnsi="Courier New"/>
          <w:sz w:val="18"/>
        </w:rPr>
        <w:t>Approved cognitive capability chain</w:t>
      </w:r>
    </w:p>
    <w:p>
      <w:pPr>
        <w:pStyle w:val="Heading1"/>
      </w:pPr>
      <w:r>
        <w:t>XIII. Governance Authority and Governance Evaluation</w:t>
      </w:r>
    </w:p>
    <w:p>
      <w:r>
        <w:t>RFC-013 establishes two distinct responsibilities. Governance Authority grants or records institutional standing and produces Acceptance Evidence or Exception Authorization under the applicable governed policy. Governance Evaluation evaluates governed records and produces Governance Evaluation Records and Governance Attestations. Governance Evaluation does not grant approval and does not produce Acceptance Evidence.</w:t>
      </w:r>
    </w:p>
    <w:p>
      <w:pPr>
        <w:keepLines/>
        <w:spacing w:before="80" w:after="160" w:line="240" w:lineRule="auto"/>
        <w:ind w:left="360" w:right="360"/>
        <w:shd w:fill="F2F4F7"/>
      </w:pPr>
      <w:r>
        <w:rPr>
          <w:rFonts w:ascii="Courier New" w:hAnsi="Courier New"/>
          <w:sz w:val="18"/>
        </w:rPr>
        <w:t>Governance Authority -&gt; Acceptance Evidence -&gt; Knowledge Evaluation</w:t>
      </w:r>
      <w:r>
        <w:br/>
      </w:r>
      <w:r>
        <w:rPr>
          <w:rFonts w:ascii="Courier New" w:hAnsi="Courier New"/>
          <w:sz w:val="18"/>
        </w:rPr>
        <w:t>Governance Authority -&gt; Exception Authorization -&gt; Governance Evaluation</w:t>
      </w:r>
      <w:r>
        <w:br/>
      </w:r>
      <w:r>
        <w:rPr>
          <w:rFonts w:ascii="Courier New" w:hAnsi="Courier New"/>
          <w:sz w:val="18"/>
        </w:rPr>
        <w:t>Decision Evaluation ---------------------------&gt; Governance Evaluation</w:t>
      </w:r>
    </w:p>
    <w:p>
      <w:pPr>
        <w:pStyle w:val="Heading1"/>
      </w:pPr>
      <w:r>
        <w:t>XIV. Architecture Boundary Contracts</w:t>
      </w:r>
    </w:p>
    <w:p>
      <w:r>
        <w:t>Each capability owns only its constitutional responsibility. A BCS governs semantics inside its assigned capability; RFCs govern cross-capability boundaries. CDDs implement authorized scope and do not redefine it. Capabilities may not introduce canonical entities, attributes, or relationships. Evaluation records remain immutable. Currentness is determined externally under RFC-011. Architecture changes require an approved RFC and an atomic Architecture Registry update.</w:t>
      </w:r>
    </w:p>
    <w:p>
      <w:pPr>
        <w:pStyle w:val="Heading1"/>
      </w:pPr>
      <w:r>
        <w:t>XV. Handbook and Registry Governance</w:t>
      </w:r>
    </w:p>
    <w:p>
      <w:r>
        <w:t>EAH-001 is the constitutional architecture document: it explains the architecture, its hierarchy, and its governing principles. architecture/INDEX.md is the single authoritative Architecture Registry: it determines which artifact version is current, frozen, authoritative, superseded, and where that artifact is located. Engineers must resolve versions through the Registry and never through Downloads folders, attachments, unmerged branches, or legacy paths.</w:t>
      </w:r>
    </w:p>
    <w:tbl>
      <w:tblPr>
        <w:tblStyle w:val="TableGrid"/>
        <w:tblW w:type="dxa" w:w="8640"/>
        <w:jc w:val="left"/>
        <w:tblLayout w:type="fixed"/>
        <w:tblLook w:firstColumn="1" w:firstRow="1" w:lastColumn="0" w:lastRow="0" w:noHBand="0" w:noVBand="1" w:val="04A0"/>
      </w:tblPr>
      <w:tblGrid>
        <w:gridCol w:w="3300"/>
        <w:gridCol w:w="5340"/>
      </w:tblGrid>
      <w:tr>
        <w:trPr>
          <w:cantSplit/>
          <w:tblHeader w:val="true"/>
        </w:trPr>
        <w:tc>
          <w:tcPr>
            <w:tcW w:type="dxa" w:w="3300"/>
            <w:vAlign w:val="center"/>
            <w:tcMar>
              <w:top w:w="70" w:type="dxa"/>
              <w:bottom w:w="70" w:type="dxa"/>
              <w:start w:w="100" w:type="dxa"/>
              <w:end w:w="100" w:type="dxa"/>
            </w:tcMar>
            <w:shd w:fill="D9EAF7"/>
          </w:tcPr>
          <w:p>
            <w:pPr>
              <w:spacing w:before="0" w:after="0" w:line="252" w:lineRule="auto"/>
            </w:pPr>
            <w:r>
              <w:rPr>
                <w:b/>
                <w:color w:val="1F4E79"/>
                <w:sz w:val="17"/>
              </w:rPr>
              <w:t>Layer</w:t>
            </w:r>
          </w:p>
        </w:tc>
        <w:tc>
          <w:tcPr>
            <w:tcW w:type="dxa" w:w="5340"/>
            <w:vAlign w:val="center"/>
            <w:tcMar>
              <w:top w:w="70" w:type="dxa"/>
              <w:bottom w:w="70" w:type="dxa"/>
              <w:start w:w="100" w:type="dxa"/>
              <w:end w:w="100" w:type="dxa"/>
            </w:tcMar>
            <w:shd w:fill="D9EAF7"/>
          </w:tcPr>
          <w:p>
            <w:pPr>
              <w:spacing w:before="0" w:after="0" w:line="252" w:lineRule="auto"/>
            </w:pPr>
            <w:r>
              <w:rPr>
                <w:b/>
                <w:color w:val="1F4E79"/>
                <w:sz w:val="17"/>
              </w:rPr>
              <w:t>Owns</w:t>
            </w:r>
          </w:p>
        </w:tc>
      </w:tr>
      <w:tr>
        <w:trPr>
          <w:cantSplit/>
        </w:trPr>
        <w:tc>
          <w:tcPr>
            <w:tcW w:type="dxa" w:w="3300"/>
            <w:vAlign w:val="center"/>
            <w:tcMar>
              <w:top w:w="70" w:type="dxa"/>
              <w:bottom w:w="70" w:type="dxa"/>
              <w:start w:w="100" w:type="dxa"/>
              <w:end w:w="100" w:type="dxa"/>
            </w:tcMar>
          </w:tcPr>
          <w:p>
            <w:pPr>
              <w:spacing w:before="0" w:after="0" w:line="252" w:lineRule="auto"/>
            </w:pPr>
            <w:r>
              <w:rPr>
                <w:sz w:val="17"/>
              </w:rPr>
              <w:t>Enterprise Constitution</w:t>
            </w:r>
          </w:p>
        </w:tc>
        <w:tc>
          <w:tcPr>
            <w:tcW w:type="dxa" w:w="5340"/>
            <w:vAlign w:val="center"/>
            <w:tcMar>
              <w:top w:w="70" w:type="dxa"/>
              <w:bottom w:w="70" w:type="dxa"/>
              <w:start w:w="100" w:type="dxa"/>
              <w:end w:w="100" w:type="dxa"/>
            </w:tcMar>
          </w:tcPr>
          <w:p>
            <w:pPr>
              <w:spacing w:before="0" w:after="0" w:line="252" w:lineRule="auto"/>
            </w:pPr>
            <w:r>
              <w:rPr>
                <w:sz w:val="17"/>
              </w:rPr>
              <w:t>Constitutional enterprise-cognition principles.</w:t>
            </w:r>
          </w:p>
        </w:tc>
      </w:tr>
      <w:tr>
        <w:trPr>
          <w:cantSplit/>
        </w:trPr>
        <w:tc>
          <w:tcPr>
            <w:tcW w:type="dxa" w:w="3300"/>
            <w:vAlign w:val="center"/>
            <w:tcMar>
              <w:top w:w="70" w:type="dxa"/>
              <w:bottom w:w="70" w:type="dxa"/>
              <w:start w:w="100" w:type="dxa"/>
              <w:end w:w="100" w:type="dxa"/>
            </w:tcMar>
          </w:tcPr>
          <w:p>
            <w:pPr>
              <w:spacing w:before="0" w:after="0" w:line="252" w:lineRule="auto"/>
            </w:pPr>
            <w:r>
              <w:rPr>
                <w:sz w:val="17"/>
              </w:rPr>
              <w:t>EAH-001</w:t>
            </w:r>
          </w:p>
        </w:tc>
        <w:tc>
          <w:tcPr>
            <w:tcW w:type="dxa" w:w="5340"/>
            <w:vAlign w:val="center"/>
            <w:tcMar>
              <w:top w:w="70" w:type="dxa"/>
              <w:bottom w:w="70" w:type="dxa"/>
              <w:start w:w="100" w:type="dxa"/>
              <w:end w:w="100" w:type="dxa"/>
            </w:tcMar>
          </w:tcPr>
          <w:p>
            <w:pPr>
              <w:spacing w:before="0" w:after="0" w:line="252" w:lineRule="auto"/>
            </w:pPr>
            <w:r>
              <w:rPr>
                <w:sz w:val="17"/>
              </w:rPr>
              <w:t>Constitutional architecture and hierarchy.</w:t>
            </w:r>
          </w:p>
        </w:tc>
      </w:tr>
      <w:tr>
        <w:trPr>
          <w:cantSplit/>
        </w:trPr>
        <w:tc>
          <w:tcPr>
            <w:tcW w:type="dxa" w:w="3300"/>
            <w:vAlign w:val="center"/>
            <w:tcMar>
              <w:top w:w="70" w:type="dxa"/>
              <w:bottom w:w="70" w:type="dxa"/>
              <w:start w:w="100" w:type="dxa"/>
              <w:end w:w="100" w:type="dxa"/>
            </w:tcMar>
          </w:tcPr>
          <w:p>
            <w:pPr>
              <w:spacing w:before="0" w:after="0" w:line="252" w:lineRule="auto"/>
            </w:pPr>
            <w:r>
              <w:rPr>
                <w:sz w:val="17"/>
              </w:rPr>
              <w:t>architecture/INDEX.md</w:t>
            </w:r>
          </w:p>
        </w:tc>
        <w:tc>
          <w:tcPr>
            <w:tcW w:type="dxa" w:w="5340"/>
            <w:vAlign w:val="center"/>
            <w:tcMar>
              <w:top w:w="70" w:type="dxa"/>
              <w:bottom w:w="70" w:type="dxa"/>
              <w:start w:w="100" w:type="dxa"/>
              <w:end w:w="100" w:type="dxa"/>
            </w:tcMar>
          </w:tcPr>
          <w:p>
            <w:pPr>
              <w:spacing w:before="0" w:after="0" w:line="252" w:lineRule="auto"/>
            </w:pPr>
            <w:r>
              <w:rPr>
                <w:sz w:val="17"/>
              </w:rPr>
              <w:t>Authoritative artifact registry, version, status, and location.</w:t>
            </w:r>
          </w:p>
        </w:tc>
      </w:tr>
      <w:tr>
        <w:trPr>
          <w:cantSplit/>
        </w:trPr>
        <w:tc>
          <w:tcPr>
            <w:tcW w:type="dxa" w:w="3300"/>
            <w:vAlign w:val="center"/>
            <w:tcMar>
              <w:top w:w="70" w:type="dxa"/>
              <w:bottom w:w="70" w:type="dxa"/>
              <w:start w:w="100" w:type="dxa"/>
              <w:end w:w="100" w:type="dxa"/>
            </w:tcMar>
          </w:tcPr>
          <w:p>
            <w:pPr>
              <w:spacing w:before="0" w:after="0" w:line="252" w:lineRule="auto"/>
            </w:pPr>
            <w:r>
              <w:rPr>
                <w:sz w:val="17"/>
              </w:rPr>
              <w:t>RFCs</w:t>
            </w:r>
          </w:p>
        </w:tc>
        <w:tc>
          <w:tcPr>
            <w:tcW w:type="dxa" w:w="5340"/>
            <w:vAlign w:val="center"/>
            <w:tcMar>
              <w:top w:w="70" w:type="dxa"/>
              <w:bottom w:w="70" w:type="dxa"/>
              <w:start w:w="100" w:type="dxa"/>
              <w:end w:w="100" w:type="dxa"/>
            </w:tcMar>
          </w:tcPr>
          <w:p>
            <w:pPr>
              <w:spacing w:before="0" w:after="0" w:line="252" w:lineRule="auto"/>
            </w:pPr>
            <w:r>
              <w:rPr>
                <w:sz w:val="17"/>
              </w:rPr>
              <w:t>Architecture decisions and cross-capability boundaries.</w:t>
            </w:r>
          </w:p>
        </w:tc>
      </w:tr>
      <w:tr>
        <w:trPr>
          <w:cantSplit/>
        </w:trPr>
        <w:tc>
          <w:tcPr>
            <w:tcW w:type="dxa" w:w="3300"/>
            <w:vAlign w:val="center"/>
            <w:tcMar>
              <w:top w:w="70" w:type="dxa"/>
              <w:bottom w:w="70" w:type="dxa"/>
              <w:start w:w="100" w:type="dxa"/>
              <w:end w:w="100" w:type="dxa"/>
            </w:tcMar>
          </w:tcPr>
          <w:p>
            <w:pPr>
              <w:spacing w:before="0" w:after="0" w:line="252" w:lineRule="auto"/>
            </w:pPr>
            <w:r>
              <w:rPr>
                <w:sz w:val="17"/>
              </w:rPr>
              <w:t>Canonical Enterprise Ontology</w:t>
            </w:r>
          </w:p>
        </w:tc>
        <w:tc>
          <w:tcPr>
            <w:tcW w:type="dxa" w:w="5340"/>
            <w:vAlign w:val="center"/>
            <w:tcMar>
              <w:top w:w="70" w:type="dxa"/>
              <w:bottom w:w="70" w:type="dxa"/>
              <w:start w:w="100" w:type="dxa"/>
              <w:end w:w="100" w:type="dxa"/>
            </w:tcMar>
          </w:tcPr>
          <w:p>
            <w:pPr>
              <w:spacing w:before="0" w:after="0" w:line="252" w:lineRule="auto"/>
            </w:pPr>
            <w:r>
              <w:rPr>
                <w:sz w:val="17"/>
              </w:rPr>
              <w:t>Enterprise reality.</w:t>
            </w:r>
          </w:p>
        </w:tc>
      </w:tr>
      <w:tr>
        <w:trPr>
          <w:cantSplit/>
        </w:trPr>
        <w:tc>
          <w:tcPr>
            <w:tcW w:type="dxa" w:w="3300"/>
            <w:vAlign w:val="center"/>
            <w:tcMar>
              <w:top w:w="70" w:type="dxa"/>
              <w:bottom w:w="70" w:type="dxa"/>
              <w:start w:w="100" w:type="dxa"/>
              <w:end w:w="100" w:type="dxa"/>
            </w:tcMar>
          </w:tcPr>
          <w:p>
            <w:pPr>
              <w:spacing w:before="0" w:after="0" w:line="252" w:lineRule="auto"/>
            </w:pPr>
            <w:r>
              <w:rPr>
                <w:sz w:val="17"/>
              </w:rPr>
              <w:t>Business Capability Specifications</w:t>
            </w:r>
          </w:p>
        </w:tc>
        <w:tc>
          <w:tcPr>
            <w:tcW w:type="dxa" w:w="5340"/>
            <w:vAlign w:val="center"/>
            <w:tcMar>
              <w:top w:w="70" w:type="dxa"/>
              <w:bottom w:w="70" w:type="dxa"/>
              <w:start w:w="100" w:type="dxa"/>
              <w:end w:w="100" w:type="dxa"/>
            </w:tcMar>
          </w:tcPr>
          <w:p>
            <w:pPr>
              <w:spacing w:before="0" w:after="0" w:line="252" w:lineRule="auto"/>
            </w:pPr>
            <w:r>
              <w:rPr>
                <w:sz w:val="17"/>
              </w:rPr>
              <w:t>Business semantics and artifacts inside assigned capabilities.</w:t>
            </w:r>
          </w:p>
        </w:tc>
      </w:tr>
      <w:tr>
        <w:trPr>
          <w:cantSplit/>
        </w:trPr>
        <w:tc>
          <w:tcPr>
            <w:tcW w:type="dxa" w:w="3300"/>
            <w:vAlign w:val="center"/>
            <w:tcMar>
              <w:top w:w="70" w:type="dxa"/>
              <w:bottom w:w="70" w:type="dxa"/>
              <w:start w:w="100" w:type="dxa"/>
              <w:end w:w="100" w:type="dxa"/>
            </w:tcMar>
          </w:tcPr>
          <w:p>
            <w:pPr>
              <w:spacing w:before="0" w:after="0" w:line="252" w:lineRule="auto"/>
            </w:pPr>
            <w:r>
              <w:rPr>
                <w:sz w:val="17"/>
              </w:rPr>
              <w:t>Logical Model / Physical Model / EAD-001</w:t>
            </w:r>
          </w:p>
        </w:tc>
        <w:tc>
          <w:tcPr>
            <w:tcW w:type="dxa" w:w="5340"/>
            <w:vAlign w:val="center"/>
            <w:tcMar>
              <w:top w:w="70" w:type="dxa"/>
              <w:bottom w:w="70" w:type="dxa"/>
              <w:start w:w="100" w:type="dxa"/>
              <w:end w:w="100" w:type="dxa"/>
            </w:tcMar>
          </w:tcPr>
          <w:p>
            <w:pPr>
              <w:spacing w:before="0" w:after="0" w:line="252" w:lineRule="auto"/>
            </w:pPr>
            <w:r>
              <w:rPr>
                <w:sz w:val="17"/>
              </w:rPr>
              <w:t>Canonical relationships, persistence structure, and attributes.</w:t>
            </w:r>
          </w:p>
        </w:tc>
      </w:tr>
      <w:tr>
        <w:trPr>
          <w:cantSplit/>
        </w:trPr>
        <w:tc>
          <w:tcPr>
            <w:tcW w:type="dxa" w:w="3300"/>
            <w:vAlign w:val="center"/>
            <w:tcMar>
              <w:top w:w="70" w:type="dxa"/>
              <w:bottom w:w="70" w:type="dxa"/>
              <w:start w:w="100" w:type="dxa"/>
              <w:end w:w="100" w:type="dxa"/>
            </w:tcMar>
          </w:tcPr>
          <w:p>
            <w:pPr>
              <w:spacing w:before="0" w:after="0" w:line="252" w:lineRule="auto"/>
            </w:pPr>
            <w:r>
              <w:rPr>
                <w:sz w:val="17"/>
              </w:rPr>
              <w:t>TAS-001</w:t>
            </w:r>
          </w:p>
        </w:tc>
        <w:tc>
          <w:tcPr>
            <w:tcW w:type="dxa" w:w="5340"/>
            <w:vAlign w:val="center"/>
            <w:tcMar>
              <w:top w:w="70" w:type="dxa"/>
              <w:bottom w:w="70" w:type="dxa"/>
              <w:start w:w="100" w:type="dxa"/>
              <w:end w:w="100" w:type="dxa"/>
            </w:tcMar>
          </w:tcPr>
          <w:p>
            <w:pPr>
              <w:spacing w:before="0" w:after="0" w:line="252" w:lineRule="auto"/>
            </w:pPr>
            <w:r>
              <w:rPr>
                <w:sz w:val="17"/>
              </w:rPr>
              <w:t>Approved technology architecture.</w:t>
            </w:r>
          </w:p>
        </w:tc>
      </w:tr>
      <w:tr>
        <w:trPr>
          <w:cantSplit/>
        </w:trPr>
        <w:tc>
          <w:tcPr>
            <w:tcW w:type="dxa" w:w="3300"/>
            <w:vAlign w:val="center"/>
            <w:tcMar>
              <w:top w:w="70" w:type="dxa"/>
              <w:bottom w:w="70" w:type="dxa"/>
              <w:start w:w="100" w:type="dxa"/>
              <w:end w:w="100" w:type="dxa"/>
            </w:tcMar>
          </w:tcPr>
          <w:p>
            <w:pPr>
              <w:spacing w:before="0" w:after="0" w:line="252" w:lineRule="auto"/>
            </w:pPr>
            <w:r>
              <w:rPr>
                <w:sz w:val="17"/>
              </w:rPr>
              <w:t>CDS-001 / CDD Template</w:t>
            </w:r>
          </w:p>
        </w:tc>
        <w:tc>
          <w:tcPr>
            <w:tcW w:type="dxa" w:w="5340"/>
            <w:vAlign w:val="center"/>
            <w:tcMar>
              <w:top w:w="70" w:type="dxa"/>
              <w:bottom w:w="70" w:type="dxa"/>
              <w:start w:w="100" w:type="dxa"/>
              <w:end w:w="100" w:type="dxa"/>
            </w:tcMar>
          </w:tcPr>
          <w:p>
            <w:pPr>
              <w:spacing w:before="0" w:after="0" w:line="252" w:lineRule="auto"/>
            </w:pPr>
            <w:r>
              <w:rPr>
                <w:sz w:val="17"/>
              </w:rPr>
              <w:t>Engineering governance and work-order structure.</w:t>
            </w:r>
          </w:p>
        </w:tc>
      </w:tr>
      <w:tr>
        <w:trPr>
          <w:cantSplit/>
        </w:trPr>
        <w:tc>
          <w:tcPr>
            <w:tcW w:type="dxa" w:w="3300"/>
            <w:vAlign w:val="center"/>
            <w:tcMar>
              <w:top w:w="70" w:type="dxa"/>
              <w:bottom w:w="70" w:type="dxa"/>
              <w:start w:w="100" w:type="dxa"/>
              <w:end w:w="100" w:type="dxa"/>
            </w:tcMar>
          </w:tcPr>
          <w:p>
            <w:pPr>
              <w:spacing w:before="0" w:after="0" w:line="252" w:lineRule="auto"/>
            </w:pPr>
            <w:r>
              <w:rPr>
                <w:sz w:val="17"/>
              </w:rPr>
              <w:t>CDDs</w:t>
            </w:r>
          </w:p>
        </w:tc>
        <w:tc>
          <w:tcPr>
            <w:tcW w:type="dxa" w:w="5340"/>
            <w:vAlign w:val="center"/>
            <w:tcMar>
              <w:top w:w="70" w:type="dxa"/>
              <w:bottom w:w="70" w:type="dxa"/>
              <w:start w:w="100" w:type="dxa"/>
              <w:end w:w="100" w:type="dxa"/>
            </w:tcMar>
          </w:tcPr>
          <w:p>
            <w:pPr>
              <w:spacing w:before="0" w:after="0" w:line="252" w:lineRule="auto"/>
            </w:pPr>
            <w:r>
              <w:rPr>
                <w:sz w:val="17"/>
              </w:rPr>
              <w:t>Authorized engineering implementation work orders.</w:t>
            </w:r>
          </w:p>
        </w:tc>
      </w:tr>
      <w:tr>
        <w:trPr>
          <w:cantSplit/>
        </w:trPr>
        <w:tc>
          <w:tcPr>
            <w:tcW w:type="dxa" w:w="3300"/>
            <w:vAlign w:val="center"/>
            <w:tcMar>
              <w:top w:w="70" w:type="dxa"/>
              <w:bottom w:w="70" w:type="dxa"/>
              <w:start w:w="100" w:type="dxa"/>
              <w:end w:w="100" w:type="dxa"/>
            </w:tcMar>
          </w:tcPr>
          <w:p>
            <w:pPr>
              <w:spacing w:before="0" w:after="0" w:line="252" w:lineRule="auto"/>
            </w:pPr>
            <w:r>
              <w:rPr>
                <w:sz w:val="17"/>
              </w:rPr>
              <w:t>Code</w:t>
            </w:r>
          </w:p>
        </w:tc>
        <w:tc>
          <w:tcPr>
            <w:tcW w:type="dxa" w:w="5340"/>
            <w:vAlign w:val="center"/>
            <w:tcMar>
              <w:top w:w="70" w:type="dxa"/>
              <w:bottom w:w="70" w:type="dxa"/>
              <w:start w:w="100" w:type="dxa"/>
              <w:end w:w="100" w:type="dxa"/>
            </w:tcMar>
          </w:tcPr>
          <w:p>
            <w:pPr>
              <w:spacing w:before="0" w:after="0" w:line="252" w:lineRule="auto"/>
            </w:pPr>
            <w:r>
              <w:rPr>
                <w:sz w:val="17"/>
              </w:rPr>
              <w:t>Runtime implementation.</w:t>
            </w:r>
          </w:p>
        </w:tc>
      </w:tr>
    </w:tbl>
    <w:p>
      <w:pPr>
        <w:spacing w:after="0"/>
      </w:pPr>
    </w:p>
    <w:p>
      <w:pPr>
        <w:pStyle w:val="Heading1"/>
      </w:pPr>
      <w:r>
        <w:t>XVI. Traceability</w:t>
      </w:r>
    </w:p>
    <w:tbl>
      <w:tblPr>
        <w:tblStyle w:val="TableGrid"/>
        <w:tblW w:type="dxa" w:w="8640"/>
        <w:jc w:val="left"/>
        <w:tblLayout w:type="fixed"/>
        <w:tblLook w:firstColumn="1" w:firstRow="1" w:lastColumn="0" w:lastRow="0" w:noHBand="0" w:noVBand="1" w:val="04A0"/>
      </w:tblPr>
      <w:tblGrid>
        <w:gridCol w:w="2600"/>
        <w:gridCol w:w="6040"/>
      </w:tblGrid>
      <w:tr>
        <w:trPr>
          <w:cantSplit/>
          <w:tblHeader w:val="true"/>
        </w:trPr>
        <w:tc>
          <w:tcPr>
            <w:tcW w:type="dxa" w:w="2600"/>
            <w:vAlign w:val="center"/>
            <w:tcMar>
              <w:top w:w="70" w:type="dxa"/>
              <w:bottom w:w="70" w:type="dxa"/>
              <w:start w:w="100" w:type="dxa"/>
              <w:end w:w="100" w:type="dxa"/>
            </w:tcMar>
            <w:shd w:fill="D9EAF7"/>
          </w:tcPr>
          <w:p>
            <w:pPr>
              <w:spacing w:before="0" w:after="0" w:line="252" w:lineRule="auto"/>
            </w:pPr>
            <w:r>
              <w:rPr>
                <w:b/>
                <w:color w:val="1F4E79"/>
                <w:sz w:val="17"/>
              </w:rPr>
              <w:t>Governing Set</w:t>
            </w:r>
          </w:p>
        </w:tc>
        <w:tc>
          <w:tcPr>
            <w:tcW w:type="dxa" w:w="6040"/>
            <w:vAlign w:val="center"/>
            <w:tcMar>
              <w:top w:w="70" w:type="dxa"/>
              <w:bottom w:w="70" w:type="dxa"/>
              <w:start w:w="100" w:type="dxa"/>
              <w:end w:w="100" w:type="dxa"/>
            </w:tcMar>
            <w:shd w:fill="D9EAF7"/>
          </w:tcPr>
          <w:p>
            <w:pPr>
              <w:spacing w:before="0" w:after="0" w:line="252" w:lineRule="auto"/>
            </w:pPr>
            <w:r>
              <w:rPr>
                <w:b/>
                <w:color w:val="1F4E79"/>
                <w:sz w:val="17"/>
              </w:rPr>
              <w:t>Current Authoritative Artifacts</w:t>
            </w:r>
          </w:p>
        </w:tc>
      </w:tr>
      <w:tr>
        <w:trPr>
          <w:cantSplit/>
        </w:trPr>
        <w:tc>
          <w:tcPr>
            <w:tcW w:type="dxa" w:w="2600"/>
            <w:vAlign w:val="center"/>
            <w:tcMar>
              <w:top w:w="70" w:type="dxa"/>
              <w:bottom w:w="70" w:type="dxa"/>
              <w:start w:w="100" w:type="dxa"/>
              <w:end w:w="100" w:type="dxa"/>
            </w:tcMar>
          </w:tcPr>
          <w:p>
            <w:pPr>
              <w:spacing w:before="0" w:after="0" w:line="252" w:lineRule="auto"/>
            </w:pPr>
            <w:r>
              <w:rPr>
                <w:sz w:val="17"/>
              </w:rPr>
              <w:t>Constitution and Handbook</w:t>
            </w:r>
          </w:p>
        </w:tc>
        <w:tc>
          <w:tcPr>
            <w:tcW w:type="dxa" w:w="6040"/>
            <w:vAlign w:val="center"/>
            <w:tcMar>
              <w:top w:w="70" w:type="dxa"/>
              <w:bottom w:w="70" w:type="dxa"/>
              <w:start w:w="100" w:type="dxa"/>
              <w:end w:w="100" w:type="dxa"/>
            </w:tcMar>
          </w:tcPr>
          <w:p>
            <w:pPr>
              <w:spacing w:before="0" w:after="0" w:line="252" w:lineRule="auto"/>
            </w:pPr>
            <w:r>
              <w:rPr>
                <w:sz w:val="17"/>
              </w:rPr>
              <w:t>Enterprise Constitution v1.0; EAH-001 v1.2</w:t>
            </w:r>
          </w:p>
        </w:tc>
      </w:tr>
      <w:tr>
        <w:trPr>
          <w:cantSplit/>
        </w:trPr>
        <w:tc>
          <w:tcPr>
            <w:tcW w:type="dxa" w:w="2600"/>
            <w:vAlign w:val="center"/>
            <w:tcMar>
              <w:top w:w="70" w:type="dxa"/>
              <w:bottom w:w="70" w:type="dxa"/>
              <w:start w:w="100" w:type="dxa"/>
              <w:end w:w="100" w:type="dxa"/>
            </w:tcMar>
          </w:tcPr>
          <w:p>
            <w:pPr>
              <w:spacing w:before="0" w:after="0" w:line="252" w:lineRule="auto"/>
            </w:pPr>
            <w:r>
              <w:rPr>
                <w:sz w:val="17"/>
              </w:rPr>
              <w:t>RFCs</w:t>
            </w:r>
          </w:p>
        </w:tc>
        <w:tc>
          <w:tcPr>
            <w:tcW w:type="dxa" w:w="6040"/>
            <w:vAlign w:val="center"/>
            <w:tcMar>
              <w:top w:w="70" w:type="dxa"/>
              <w:bottom w:w="70" w:type="dxa"/>
              <w:start w:w="100" w:type="dxa"/>
              <w:end w:w="100" w:type="dxa"/>
            </w:tcMar>
          </w:tcPr>
          <w:p>
            <w:pPr>
              <w:spacing w:before="0" w:after="0" w:line="252" w:lineRule="auto"/>
            </w:pPr>
            <w:r>
              <w:rPr>
                <w:sz w:val="17"/>
              </w:rPr>
              <w:t>RFC-010 v1.0; RFC-011 v1.0; RFC-012 v1.0; RFC-013 v1.0</w:t>
            </w:r>
          </w:p>
        </w:tc>
      </w:tr>
      <w:tr>
        <w:trPr>
          <w:cantSplit/>
        </w:trPr>
        <w:tc>
          <w:tcPr>
            <w:tcW w:type="dxa" w:w="2600"/>
            <w:vAlign w:val="center"/>
            <w:tcMar>
              <w:top w:w="70" w:type="dxa"/>
              <w:bottom w:w="70" w:type="dxa"/>
              <w:start w:w="100" w:type="dxa"/>
              <w:end w:w="100" w:type="dxa"/>
            </w:tcMar>
          </w:tcPr>
          <w:p>
            <w:pPr>
              <w:spacing w:before="0" w:after="0" w:line="252" w:lineRule="auto"/>
            </w:pPr>
            <w:r>
              <w:rPr>
                <w:sz w:val="17"/>
              </w:rPr>
              <w:t>Canonical mapping</w:t>
            </w:r>
          </w:p>
        </w:tc>
        <w:tc>
          <w:tcPr>
            <w:tcW w:type="dxa" w:w="6040"/>
            <w:vAlign w:val="center"/>
            <w:tcMar>
              <w:top w:w="70" w:type="dxa"/>
              <w:bottom w:w="70" w:type="dxa"/>
              <w:start w:w="100" w:type="dxa"/>
              <w:end w:w="100" w:type="dxa"/>
            </w:tcMar>
          </w:tcPr>
          <w:p>
            <w:pPr>
              <w:spacing w:before="0" w:after="0" w:line="252" w:lineRule="auto"/>
            </w:pPr>
            <w:r>
              <w:rPr>
                <w:sz w:val="17"/>
              </w:rPr>
              <w:t>CAM-001 v1.0; PMM-001 v1.0</w:t>
            </w:r>
          </w:p>
        </w:tc>
      </w:tr>
      <w:tr>
        <w:trPr>
          <w:cantSplit/>
        </w:trPr>
        <w:tc>
          <w:tcPr>
            <w:tcW w:type="dxa" w:w="2600"/>
            <w:vAlign w:val="center"/>
            <w:tcMar>
              <w:top w:w="70" w:type="dxa"/>
              <w:bottom w:w="70" w:type="dxa"/>
              <w:start w:w="100" w:type="dxa"/>
              <w:end w:w="100" w:type="dxa"/>
            </w:tcMar>
          </w:tcPr>
          <w:p>
            <w:pPr>
              <w:spacing w:before="0" w:after="0" w:line="252" w:lineRule="auto"/>
            </w:pPr>
            <w:r>
              <w:rPr>
                <w:sz w:val="17"/>
              </w:rPr>
              <w:t>Engineering and technology</w:t>
            </w:r>
          </w:p>
        </w:tc>
        <w:tc>
          <w:tcPr>
            <w:tcW w:type="dxa" w:w="6040"/>
            <w:vAlign w:val="center"/>
            <w:tcMar>
              <w:top w:w="70" w:type="dxa"/>
              <w:bottom w:w="70" w:type="dxa"/>
              <w:start w:w="100" w:type="dxa"/>
              <w:end w:w="100" w:type="dxa"/>
            </w:tcMar>
          </w:tcPr>
          <w:p>
            <w:pPr>
              <w:spacing w:before="0" w:after="0" w:line="252" w:lineRule="auto"/>
            </w:pPr>
            <w:r>
              <w:rPr>
                <w:sz w:val="17"/>
              </w:rPr>
              <w:t>CDS-001 v1.3; CDD Template v2.1; TAS-001 Part 1 v1.0</w:t>
            </w:r>
          </w:p>
        </w:tc>
      </w:tr>
      <w:tr>
        <w:trPr>
          <w:cantSplit/>
        </w:trPr>
        <w:tc>
          <w:tcPr>
            <w:tcW w:type="dxa" w:w="2600"/>
            <w:vAlign w:val="center"/>
            <w:tcMar>
              <w:top w:w="70" w:type="dxa"/>
              <w:bottom w:w="70" w:type="dxa"/>
              <w:start w:w="100" w:type="dxa"/>
              <w:end w:w="100" w:type="dxa"/>
            </w:tcMar>
          </w:tcPr>
          <w:p>
            <w:pPr>
              <w:spacing w:before="0" w:after="0" w:line="252" w:lineRule="auto"/>
            </w:pPr>
            <w:r>
              <w:rPr>
                <w:sz w:val="17"/>
              </w:rPr>
              <w:t>Canonical models</w:t>
            </w:r>
          </w:p>
        </w:tc>
        <w:tc>
          <w:tcPr>
            <w:tcW w:type="dxa" w:w="6040"/>
            <w:vAlign w:val="center"/>
            <w:tcMar>
              <w:top w:w="70" w:type="dxa"/>
              <w:bottom w:w="70" w:type="dxa"/>
              <w:start w:w="100" w:type="dxa"/>
              <w:end w:w="100" w:type="dxa"/>
            </w:tcMar>
          </w:tcPr>
          <w:p>
            <w:pPr>
              <w:spacing w:before="0" w:after="0" w:line="252" w:lineRule="auto"/>
            </w:pPr>
            <w:r>
              <w:rPr>
                <w:sz w:val="17"/>
              </w:rPr>
              <w:t>CDD-003 Revision 2 v2.0; Logical Model v1.3; Physical Model v1.3; EAD-001 v1.3</w:t>
            </w:r>
          </w:p>
        </w:tc>
      </w:tr>
      <w:tr>
        <w:trPr>
          <w:cantSplit/>
        </w:trPr>
        <w:tc>
          <w:tcPr>
            <w:tcW w:type="dxa" w:w="2600"/>
            <w:vAlign w:val="center"/>
            <w:tcMar>
              <w:top w:w="70" w:type="dxa"/>
              <w:bottom w:w="70" w:type="dxa"/>
              <w:start w:w="100" w:type="dxa"/>
              <w:end w:w="100" w:type="dxa"/>
            </w:tcMar>
          </w:tcPr>
          <w:p>
            <w:pPr>
              <w:spacing w:before="0" w:after="0" w:line="252" w:lineRule="auto"/>
            </w:pPr>
            <w:r>
              <w:rPr>
                <w:sz w:val="17"/>
              </w:rPr>
              <w:t>Cognitive BCSs</w:t>
            </w:r>
          </w:p>
        </w:tc>
        <w:tc>
          <w:tcPr>
            <w:tcW w:type="dxa" w:w="6040"/>
            <w:vAlign w:val="center"/>
            <w:tcMar>
              <w:top w:w="70" w:type="dxa"/>
              <w:bottom w:w="70" w:type="dxa"/>
              <w:start w:w="100" w:type="dxa"/>
              <w:end w:w="100" w:type="dxa"/>
            </w:tcMar>
          </w:tcPr>
          <w:p>
            <w:pPr>
              <w:spacing w:before="0" w:after="0" w:line="252" w:lineRule="auto"/>
            </w:pPr>
            <w:r>
              <w:rPr>
                <w:sz w:val="17"/>
              </w:rPr>
              <w:t>ERM-001 v2.2; SRM-001 v2.1; ASM-001 v2.1; AEM-001 v1.1; KRM-001 v1.3; DRM-001 v1.1; GEM-001 v1.0; GRM-001 v1.1</w:t>
            </w:r>
          </w:p>
        </w:tc>
      </w:tr>
      <w:tr>
        <w:trPr>
          <w:cantSplit/>
        </w:trPr>
        <w:tc>
          <w:tcPr>
            <w:tcW w:type="dxa" w:w="2600"/>
            <w:vAlign w:val="center"/>
            <w:tcMar>
              <w:top w:w="70" w:type="dxa"/>
              <w:bottom w:w="70" w:type="dxa"/>
              <w:start w:w="100" w:type="dxa"/>
              <w:end w:w="100" w:type="dxa"/>
            </w:tcMar>
          </w:tcPr>
          <w:p>
            <w:pPr>
              <w:spacing w:before="0" w:after="0" w:line="252" w:lineRule="auto"/>
            </w:pPr>
            <w:r>
              <w:rPr>
                <w:sz w:val="17"/>
              </w:rPr>
              <w:t>Runtime architecture</w:t>
            </w:r>
          </w:p>
        </w:tc>
        <w:tc>
          <w:tcPr>
            <w:tcW w:type="dxa" w:w="6040"/>
            <w:vAlign w:val="center"/>
            <w:tcMar>
              <w:top w:w="70" w:type="dxa"/>
              <w:bottom w:w="70" w:type="dxa"/>
              <w:start w:w="100" w:type="dxa"/>
              <w:end w:w="100" w:type="dxa"/>
            </w:tcMar>
          </w:tcPr>
          <w:p>
            <w:pPr>
              <w:spacing w:before="0" w:after="0" w:line="252" w:lineRule="auto"/>
            </w:pPr>
            <w:r>
              <w:rPr>
                <w:sz w:val="17"/>
              </w:rPr>
              <w:t>EIC-001 v1.1; EOM-001 v1.1; ESM-001 v1.1; PAD-001 v1.2</w:t>
            </w:r>
          </w:p>
        </w:tc>
      </w:tr>
      <w:tr>
        <w:trPr>
          <w:cantSplit/>
        </w:trPr>
        <w:tc>
          <w:tcPr>
            <w:tcW w:type="dxa" w:w="2600"/>
            <w:vAlign w:val="center"/>
            <w:tcMar>
              <w:top w:w="70" w:type="dxa"/>
              <w:bottom w:w="70" w:type="dxa"/>
              <w:start w:w="100" w:type="dxa"/>
              <w:end w:w="100" w:type="dxa"/>
            </w:tcMar>
          </w:tcPr>
          <w:p>
            <w:pPr>
              <w:spacing w:before="0" w:after="0" w:line="252" w:lineRule="auto"/>
            </w:pPr>
            <w:r>
              <w:rPr>
                <w:sz w:val="17"/>
              </w:rPr>
              <w:t>Persistence decisions</w:t>
            </w:r>
          </w:p>
        </w:tc>
        <w:tc>
          <w:tcPr>
            <w:tcW w:type="dxa" w:w="6040"/>
            <w:vAlign w:val="center"/>
            <w:tcMar>
              <w:top w:w="70" w:type="dxa"/>
              <w:bottom w:w="70" w:type="dxa"/>
              <w:start w:w="100" w:type="dxa"/>
              <w:end w:w="100" w:type="dxa"/>
            </w:tcMar>
          </w:tcPr>
          <w:p>
            <w:pPr>
              <w:spacing w:before="0" w:after="0" w:line="252" w:lineRule="auto"/>
            </w:pPr>
            <w:r>
              <w:rPr>
                <w:sz w:val="17"/>
              </w:rPr>
              <w:t>ARCH-001 v1.0; ARCH-003 v1.0; ARCH-004 v1.0</w:t>
            </w:r>
          </w:p>
        </w:tc>
      </w:tr>
    </w:tbl>
    <w:p>
      <w:pPr>
        <w:spacing w:after="0"/>
      </w:pPr>
    </w:p>
    <w:p>
      <w:pPr>
        <w:pStyle w:val="Heading1"/>
      </w:pPr>
      <w:r>
        <w:t>Appendix A — Frozen Principles</w:t>
      </w:r>
    </w:p>
    <w:p>
      <w:pPr>
        <w:pStyle w:val="ListBullet"/>
        <w:spacing w:after="80"/>
      </w:pPr>
      <w:r>
        <w:t>Ontology precedes cognition.</w:t>
      </w:r>
    </w:p>
    <w:p>
      <w:pPr>
        <w:pStyle w:val="ListBullet"/>
        <w:spacing w:after="80"/>
      </w:pPr>
      <w:r>
        <w:t>Cognition consumes ontology and never redefines it.</w:t>
      </w:r>
    </w:p>
    <w:p>
      <w:pPr>
        <w:pStyle w:val="ListBullet"/>
        <w:spacing w:after="80"/>
      </w:pPr>
      <w:r>
        <w:t>Governance Authority grants institutional standing; Governance Evaluation evaluates governed records.</w:t>
      </w:r>
    </w:p>
    <w:p>
      <w:pPr>
        <w:pStyle w:val="ListBullet"/>
        <w:spacing w:after="80"/>
      </w:pPr>
      <w:r>
        <w:t>Persistence records facts; cognition assigns meaning; institutional standing requires governed authority.</w:t>
      </w:r>
    </w:p>
    <w:p>
      <w:pPr>
        <w:pStyle w:val="ListBullet"/>
        <w:spacing w:after="80"/>
      </w:pPr>
      <w:r>
        <w:t>Immutable business records do not contain mutable currentness state.</w:t>
      </w:r>
    </w:p>
    <w:p>
      <w:pPr>
        <w:pStyle w:val="ListBullet"/>
        <w:spacing w:after="80"/>
      </w:pPr>
      <w:r>
        <w:t>Architecture before optimization.</w:t>
      </w:r>
    </w:p>
    <w:p>
      <w:pPr>
        <w:pStyle w:val="ListBullet"/>
        <w:spacing w:after="80"/>
      </w:pPr>
      <w:r>
        <w:t>Prototype before scale.</w:t>
      </w:r>
    </w:p>
    <w:p>
      <w:pPr>
        <w:pStyle w:val="ListBullet"/>
        <w:spacing w:after="80"/>
      </w:pPr>
      <w:r>
        <w:t>BCSs define semantics inside capabilities; RFCs govern boundaries between capabilities.</w:t>
      </w:r>
    </w:p>
    <w:p>
      <w:pPr>
        <w:pStyle w:val="ListBullet"/>
        <w:spacing w:after="80"/>
      </w:pPr>
      <w:r>
        <w:t>EAH-001 explains constitutional architecture; architecture/INDEX.md identifies the current authoritative artifacts.</w:t>
      </w:r>
    </w:p>
    <w:p>
      <w:pPr>
        <w:pStyle w:val="ListBullet"/>
        <w:spacing w:after="80"/>
      </w:pPr>
      <w:r>
        <w:t>CDDs authorize implementation; code runs only the authorized implementation.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EAH-001 — ECOM Architecture Handbook v1.2</dc:title>
  <dc:subject>Clarification Release aligned to the current Architecture Registry</dc:subject>
  <dc:creator>python-docx</dc:creator>
  <cp:keywords>ECOM, CTEC, architecture, handbook, constitutional architecture</cp:keywords>
  <dc:description>generated by python-docx</dc:description>
  <cp:lastModifiedBy/>
  <cp:revision>1</cp:revision>
  <dcterms:created xsi:type="dcterms:W3CDTF">2013-12-23T23:15:00Z</dcterms:created>
  <dcterms:modified xsi:type="dcterms:W3CDTF">2013-12-23T23:15:00Z</dcterms:modified>
  <cp:category/>
</cp:coreProperties>
</file>