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  <w:pBdr>
          <w:bottom w:val="single" w:sz="12" w:space="12" w:color="4472C4"/>
        </w:pBdr>
      </w:pPr>
      <w:r>
        <w:rPr>
          <w:rFonts w:ascii="Aptos" w:hAnsi="Aptos"/>
          <w:b w:val="0"/>
          <w:color w:val="1F4E79"/>
          <w:sz w:val="52"/>
        </w:rPr>
        <w:t>EIC-001 — Cognitive Engine</w:t>
        <w:br/>
        <w:t>Invocation Architecture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Version 1.0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Status: FROZEN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Document Type: Runtime Architecture Specification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Authority: Enterprise Runtime Architecture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Owner: CTEC Architecture</w:t>
      </w:r>
    </w:p>
    <w:p>
      <w:pPr>
        <w:pStyle w:val="Heading1"/>
      </w:pPr>
      <w:r>
        <w:t>Document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880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/>
                <w:sz w:val="22"/>
              </w:rPr>
              <w:t>Item</w:t>
            </w:r>
          </w:p>
        </w:tc>
        <w:tc>
          <w:tcPr>
            <w:tcW w:type="dxa" w:w="5760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ID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EIC-001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Title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Invocation Architecture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Version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Status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FROZEN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Type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Runtime Architecture Specification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Authority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Enterprise Runtime Architecture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Owner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CTEC Architecture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Depends On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EAH-001, RFC-010, RFC-011, CDS-001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Consumed By</w:t>
            </w:r>
          </w:p>
        </w:tc>
        <w:tc>
          <w:tcPr>
            <w:tcW w:type="dxa" w:w="5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PAD-001, PWD-001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The Cognitive Engine Invocation Architecture (EIC) defines the exclusive runtime invocation architecture of the CTEC Cognitive Engine.</w:t>
      </w:r>
    </w:p>
    <w:p>
      <w:r>
        <w:rPr>
          <w:rFonts w:ascii="Georgia" w:hAnsi="Georgia"/>
          <w:b w:val="0"/>
          <w:sz w:val="22"/>
        </w:rPr>
        <w:t>EIC establishes the only architectural boundary through which runtime consumers invoke enterprise cognition.</w:t>
      </w:r>
    </w:p>
    <w:p>
      <w:r>
        <w:rPr>
          <w:rFonts w:ascii="Georgia" w:hAnsi="Georgia"/>
          <w:b w:val="0"/>
          <w:sz w:val="22"/>
        </w:rPr>
        <w:t>EIC does not define business semantics.</w:t>
      </w:r>
    </w:p>
    <w:p>
      <w:r>
        <w:rPr>
          <w:rFonts w:ascii="Georgia" w:hAnsi="Georgia"/>
          <w:b w:val="0"/>
          <w:sz w:val="22"/>
        </w:rPr>
        <w:t>EIC does not define canonical ontology.</w:t>
      </w:r>
    </w:p>
    <w:p>
      <w:r>
        <w:rPr>
          <w:rFonts w:ascii="Georgia" w:hAnsi="Georgia"/>
          <w:b w:val="0"/>
          <w:sz w:val="22"/>
        </w:rPr>
        <w:t>EIC does not define implementation technology.</w:t>
      </w:r>
    </w:p>
    <w:p>
      <w:r>
        <w:rPr>
          <w:rFonts w:ascii="Georgia" w:hAnsi="Georgia"/>
          <w:b w:val="0"/>
          <w:sz w:val="22"/>
        </w:rPr>
        <w:t>EIC defines: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invocation architecture;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ownership;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isolation;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lifecycle;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invocation responsibilities; and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boundaries.</w:t>
      </w:r>
    </w:p>
    <w:p>
      <w:r>
        <w:rPr>
          <w:rFonts w:ascii="Georgia" w:hAnsi="Georgia"/>
          <w:b w:val="0"/>
          <w:sz w:val="22"/>
        </w:rPr>
        <w:t>Every runtime invocation of enterprise cognition SHALL pass through the Cognitive Engine Invocation Architecture.</w:t>
      </w:r>
    </w:p>
    <w:p>
      <w:pPr>
        <w:pStyle w:val="Heading1"/>
      </w:pPr>
      <w:r>
        <w:t>2. Architectural Position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Product Layer</w:t>
        <w:br/>
        <w:t>│</w:t>
        <w:br/>
        <w:t>▼</w:t>
        <w:br/>
        <w:t>Product Access Protocol</w:t>
        <w:br/>
        <w:t>│</w:t>
        <w:br/>
        <w:t>▼</w:t>
        <w:br/>
        <w:t>Engine Access Facade</w:t>
        <w:br/>
        <w:t>│</w:t>
        <w:br/>
        <w:t>▼</w:t>
        <w:br/>
        <w:t>Cognitive Engine Invocation Architecture</w:t>
        <w:br/>
        <w:t>│</w:t>
        <w:br/>
        <w:t>▼</w:t>
        <w:br/>
        <w:t>CTEC Cognitive Engine</w:t>
        <w:br/>
        <w:t>ERM → SRM → ASM → KRM → DRM → GRM</w:t>
      </w:r>
    </w:p>
    <w:p>
      <w:r>
        <w:rPr>
          <w:rFonts w:ascii="Georgia" w:hAnsi="Georgia"/>
          <w:b w:val="0"/>
          <w:sz w:val="22"/>
        </w:rPr>
        <w:t>EIC is the exclusive runtime invocation architecture of the Cognitive Engine.</w:t>
      </w:r>
    </w:p>
    <w:p>
      <w:pPr>
        <w:pStyle w:val="Heading1"/>
      </w:pPr>
      <w:r>
        <w:t>3. Scope</w:t>
      </w:r>
    </w:p>
    <w:p>
      <w:pPr>
        <w:pStyle w:val="Heading2"/>
      </w:pPr>
      <w:r>
        <w:t>EIC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invocation boundary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Invocation contracts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ownership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lifecycle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isolation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orchestration boundary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correlation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state model</w:t>
      </w:r>
    </w:p>
    <w:p>
      <w:pPr>
        <w:pStyle w:val="Heading2"/>
      </w:pPr>
      <w:r>
        <w:t>EIC Does Not Own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Canonical Enterprise Ontology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Entity Resolution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Semantic Resolution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Assertion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Knowledge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Decision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protocols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User interaction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Repository access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 implementation</w:t>
      </w:r>
    </w:p>
    <w:p>
      <w:pPr>
        <w:pStyle w:val="Heading1"/>
      </w:pPr>
      <w:r>
        <w:t>4. Runtime Architecture Principles</w:t>
      </w:r>
    </w:p>
    <w:p>
      <w:pPr>
        <w:pStyle w:val="Heading2"/>
      </w:pPr>
      <w:r>
        <w:t>EIP-001 — Single Invocation Boundary</w:t>
      </w:r>
    </w:p>
    <w:p>
      <w:r>
        <w:rPr>
          <w:rFonts w:ascii="Georgia" w:hAnsi="Georgia"/>
          <w:b w:val="0"/>
          <w:sz w:val="22"/>
        </w:rPr>
        <w:t>Every runtime invocation SHALL enter the Cognitive Engine through one invocation boundary. No alternate invocation path is permitted.</w:t>
      </w:r>
    </w:p>
    <w:p>
      <w:pPr>
        <w:pStyle w:val="Heading2"/>
      </w:pPr>
      <w:r>
        <w:t>EIP-002 — Opaque Invocation</w:t>
      </w:r>
    </w:p>
    <w:p>
      <w:r>
        <w:rPr>
          <w:rFonts w:ascii="Georgia" w:hAnsi="Georgia"/>
          <w:b w:val="0"/>
          <w:sz w:val="22"/>
        </w:rPr>
        <w:t>Invocation requests SHALL remain opaque. Consumers SHALL NOT encode capability sequencing or business semantics.</w:t>
      </w:r>
    </w:p>
    <w:p>
      <w:pPr>
        <w:pStyle w:val="Heading2"/>
      </w:pPr>
      <w:r>
        <w:t>EIP-003 — Capability Isolation</w:t>
      </w:r>
    </w:p>
    <w:p>
      <w:r>
        <w:rPr>
          <w:rFonts w:ascii="Georgia" w:hAnsi="Georgia"/>
          <w:b w:val="0"/>
          <w:sz w:val="22"/>
        </w:rPr>
        <w:t>Internal cognitive capabilities SHALL remain invisible to runtime consumers.</w:t>
      </w:r>
    </w:p>
    <w:p>
      <w:pPr>
        <w:pStyle w:val="Heading2"/>
      </w:pPr>
      <w:r>
        <w:t>EIP-004 — Execution Ownership</w:t>
      </w:r>
    </w:p>
    <w:p>
      <w:r>
        <w:rPr>
          <w:rFonts w:ascii="Georgia" w:hAnsi="Georgia"/>
          <w:b w:val="0"/>
          <w:sz w:val="22"/>
        </w:rPr>
        <w:t>The Cognitive Engine exclusively owns execution. No external component may manage execution state.</w:t>
      </w:r>
    </w:p>
    <w:p>
      <w:pPr>
        <w:pStyle w:val="Heading2"/>
      </w:pPr>
      <w:r>
        <w:t>EIP-005 — Protocol Independence</w:t>
      </w:r>
    </w:p>
    <w:p>
      <w:r>
        <w:rPr>
          <w:rFonts w:ascii="Georgia" w:hAnsi="Georgia"/>
          <w:b w:val="0"/>
          <w:sz w:val="22"/>
        </w:rPr>
        <w:t>Invocation architecture SHALL remain independent of Product Access Protocol evolution.</w:t>
      </w:r>
    </w:p>
    <w:p>
      <w:pPr>
        <w:pStyle w:val="Heading2"/>
      </w:pPr>
      <w:r>
        <w:t>EIP-006 — Transport Independence</w:t>
      </w:r>
    </w:p>
    <w:p>
      <w:r>
        <w:rPr>
          <w:rFonts w:ascii="Georgia" w:hAnsi="Georgia"/>
          <w:b w:val="0"/>
          <w:sz w:val="22"/>
        </w:rPr>
        <w:t>Invocation architecture SHALL remain independent of transport technology. The invocation mechanism may be implemented in-process or through an external transport without changing architectural semantics.</w:t>
      </w:r>
    </w:p>
    <w:p>
      <w:pPr>
        <w:pStyle w:val="Heading1"/>
      </w:pPr>
      <w:r>
        <w:t>5. Runtime Boundary</w:t>
      </w:r>
    </w:p>
    <w:p>
      <w:r>
        <w:rPr>
          <w:rFonts w:ascii="Georgia" w:hAnsi="Georgia"/>
          <w:b w:val="0"/>
          <w:sz w:val="22"/>
        </w:rPr>
        <w:t>The Cognitive Engine exposes exactly one runtime invocation boundary.</w:t>
      </w:r>
    </w:p>
    <w:p>
      <w:r>
        <w:rPr>
          <w:rFonts w:ascii="Georgia" w:hAnsi="Georgia"/>
          <w:b w:val="0"/>
          <w:sz w:val="22"/>
        </w:rPr>
        <w:t>Consumers SHALL invoke enterprise cognition through this boundary only.</w:t>
      </w:r>
    </w:p>
    <w:p>
      <w:r>
        <w:rPr>
          <w:rFonts w:ascii="Georgia" w:hAnsi="Georgia"/>
          <w:b w:val="0"/>
          <w:sz w:val="22"/>
        </w:rPr>
        <w:t>The runtime boundary SHALL NOT expose: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ERM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SRM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ASM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KRM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DRM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GRM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repositories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internal orchestration</w:t>
      </w:r>
    </w:p>
    <w:p>
      <w:pPr>
        <w:pStyle w:val="Heading1"/>
      </w:pPr>
      <w:r>
        <w:t>6. Engine Entry Point</w:t>
      </w:r>
    </w:p>
    <w:p>
      <w:r>
        <w:rPr>
          <w:rFonts w:ascii="Georgia" w:hAnsi="Georgia"/>
          <w:b w:val="0"/>
          <w:sz w:val="22"/>
        </w:rPr>
        <w:t>The Cognitive Engine SHALL expose a single runtime entry point.</w:t>
      </w:r>
    </w:p>
    <w:p>
      <w:r>
        <w:rPr>
          <w:rFonts w:ascii="Georgia" w:hAnsi="Georgia"/>
          <w:b w:val="0"/>
          <w:sz w:val="22"/>
        </w:rPr>
        <w:t>The entry point accepts opaque invocation requests and returns opaque execution references.</w:t>
      </w:r>
    </w:p>
    <w:p>
      <w:r>
        <w:rPr>
          <w:rFonts w:ascii="Georgia" w:hAnsi="Georgia"/>
          <w:b w:val="0"/>
          <w:sz w:val="22"/>
        </w:rPr>
        <w:t>Consumers SHALL NOT invoke internal cognitive capabilities individually.</w:t>
      </w:r>
    </w:p>
    <w:p>
      <w:pPr>
        <w:pStyle w:val="Heading1"/>
      </w:pPr>
      <w:r>
        <w:t>7. Invocation Contract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Provide a technology-neutral invocation contract between runtime consumers and the Cognitive Engine.</w:t>
      </w:r>
    </w:p>
    <w:p>
      <w:pPr>
        <w:pStyle w:val="Heading2"/>
      </w:pPr>
      <w:r>
        <w:t>Invocation Request</w:t>
      </w:r>
    </w:p>
    <w:p>
      <w:r>
        <w:rPr>
          <w:rFonts w:ascii="Georgia" w:hAnsi="Georgia"/>
          <w:b w:val="0"/>
          <w:sz w:val="22"/>
        </w:rPr>
        <w:t>Contains: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Invocation Version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Correlation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Session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Classification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Opaque Payload</w:t>
      </w:r>
    </w:p>
    <w:p>
      <w:r>
        <w:rPr>
          <w:rFonts w:ascii="Georgia" w:hAnsi="Georgia"/>
          <w:b w:val="0"/>
          <w:sz w:val="22"/>
        </w:rPr>
        <w:t>The request SHALL NOT contain: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sequence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canonical ontology modifications</w:t>
      </w:r>
    </w:p>
    <w:p>
      <w:pPr>
        <w:pStyle w:val="Heading2"/>
      </w:pPr>
      <w:r>
        <w:t>Invocation Response</w:t>
      </w:r>
    </w:p>
    <w:p>
      <w:r>
        <w:rPr>
          <w:rFonts w:ascii="Georgia" w:hAnsi="Georgia"/>
          <w:b w:val="0"/>
          <w:sz w:val="22"/>
        </w:rPr>
        <w:t>Returns: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Invocation Acceptance Status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Reference</w:t>
      </w:r>
    </w:p>
    <w:p>
      <w:r>
        <w:rPr>
          <w:rFonts w:ascii="Georgia" w:hAnsi="Georgia"/>
          <w:b w:val="0"/>
          <w:sz w:val="22"/>
        </w:rPr>
        <w:t>The response SHALL NOT expose internal capability state.</w:t>
      </w:r>
    </w:p>
    <w:p>
      <w:pPr>
        <w:pStyle w:val="Heading1"/>
      </w:pPr>
      <w:r>
        <w:t>8. Execution Ownership</w:t>
      </w:r>
    </w:p>
    <w:p>
      <w:pPr>
        <w:pStyle w:val="Heading2"/>
      </w:pPr>
      <w:r>
        <w:t>Runtime Consumer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Correlation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Session Identifier</w:t>
      </w:r>
    </w:p>
    <w:p>
      <w:pPr>
        <w:pStyle w:val="Heading2"/>
      </w:pPr>
      <w:r>
        <w:t>Cognitive Engine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State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Lifecycle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Orchestration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Outcomes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Current Record Determination</w:t>
      </w:r>
    </w:p>
    <w:p>
      <w:r>
        <w:rPr>
          <w:rFonts w:ascii="Georgia" w:hAnsi="Georgia"/>
          <w:b w:val="0"/>
          <w:sz w:val="22"/>
        </w:rPr>
        <w:t>Execution ownership SHALL NEVER be shared.</w:t>
      </w:r>
    </w:p>
    <w:p>
      <w:pPr>
        <w:pStyle w:val="Heading1"/>
      </w:pPr>
      <w:r>
        <w:t>9. Execution Lifecycle</w:t>
      </w:r>
    </w:p>
    <w:p>
      <w:r>
        <w:rPr>
          <w:rFonts w:ascii="Georgia" w:hAnsi="Georgia"/>
          <w:b w:val="0"/>
          <w:sz w:val="22"/>
        </w:rPr>
        <w:t>Execution progresses through the following states: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Received</w:t>
        <w:br/>
        <w:t>│</w:t>
        <w:br/>
        <w:t>Validated</w:t>
        <w:br/>
        <w:t>│</w:t>
        <w:br/>
        <w:t>Accepted</w:t>
        <w:br/>
        <w:t>│</w:t>
        <w:br/>
        <w:t>Executing</w:t>
        <w:br/>
        <w:t>│</w:t>
        <w:br/>
        <w:t>Completed</w:t>
        <w:br/>
        <w:t>or</w:t>
        <w:br/>
        <w:t>Failed</w:t>
      </w:r>
    </w:p>
    <w:p>
      <w:r>
        <w:rPr>
          <w:rFonts w:ascii="Georgia" w:hAnsi="Georgia"/>
          <w:b w:val="0"/>
          <w:sz w:val="22"/>
        </w:rPr>
        <w:t>The lifecycle is owned exclusively by the Cognitive Engine.</w:t>
      </w:r>
    </w:p>
    <w:p>
      <w:pPr>
        <w:pStyle w:val="Heading1"/>
      </w:pPr>
      <w:r>
        <w:t>10. Capability Orchestration</w:t>
      </w:r>
    </w:p>
    <w:p>
      <w:r>
        <w:rPr>
          <w:rFonts w:ascii="Georgia" w:hAnsi="Georgia"/>
          <w:b w:val="0"/>
          <w:sz w:val="22"/>
        </w:rPr>
        <w:t>The Cognitive Engine exclusively determines: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which capabilities execute;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order;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dependencies;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completion.</w:t>
      </w:r>
    </w:p>
    <w:p>
      <w:r>
        <w:rPr>
          <w:rFonts w:ascii="Georgia" w:hAnsi="Georgia"/>
          <w:b w:val="0"/>
          <w:sz w:val="22"/>
        </w:rPr>
        <w:t>Runtime consumers SHALL request enterprise cognition only.</w:t>
      </w:r>
    </w:p>
    <w:p>
      <w:r>
        <w:rPr>
          <w:rFonts w:ascii="Georgia" w:hAnsi="Georgia"/>
          <w:b w:val="0"/>
          <w:sz w:val="22"/>
        </w:rPr>
        <w:t>They SHALL NOT request execution of individual capabilities.</w:t>
      </w:r>
    </w:p>
    <w:p>
      <w:pPr>
        <w:pStyle w:val="Heading1"/>
      </w:pPr>
      <w:r>
        <w:t>11. Isolation Rules</w:t>
      </w:r>
    </w:p>
    <w:p>
      <w:r>
        <w:rPr>
          <w:rFonts w:ascii="Georgia" w:hAnsi="Georgia"/>
          <w:b w:val="0"/>
          <w:sz w:val="22"/>
        </w:rPr>
        <w:t>Runtime consumers SHALL NEVER: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invoke ERM directly;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invoke SRM directly;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invoke ASM directly;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invoke KRM directly;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invoke DRM directly;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invoke GRM directly;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access repositories;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access 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determine execution order;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manage execution state.</w:t>
      </w:r>
    </w:p>
    <w:p>
      <w:pPr>
        <w:pStyle w:val="Heading1"/>
      </w:pPr>
      <w:r>
        <w:t>12. Runtime Reference Contracts</w:t>
      </w:r>
    </w:p>
    <w:p>
      <w:r>
        <w:rPr>
          <w:rFonts w:ascii="Georgia" w:hAnsi="Georgia"/>
          <w:b w:val="0"/>
          <w:sz w:val="22"/>
        </w:rPr>
        <w:t>Execution results SHALL be referenced using opaque runtime references.</w:t>
      </w:r>
    </w:p>
    <w:p>
      <w:r>
        <w:rPr>
          <w:rFonts w:ascii="Georgia" w:hAnsi="Georgia"/>
          <w:b w:val="0"/>
          <w:sz w:val="22"/>
        </w:rPr>
        <w:t>Reference categories include: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Projection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Explanation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History Reference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 Reference</w:t>
      </w:r>
    </w:p>
    <w:p>
      <w:r>
        <w:rPr>
          <w:rFonts w:ascii="Georgia" w:hAnsi="Georgia"/>
          <w:b w:val="0"/>
          <w:sz w:val="22"/>
        </w:rPr>
        <w:t>Reference identifiers SHALL carry no business meaning.</w:t>
      </w:r>
    </w:p>
    <w:p>
      <w:pPr>
        <w:pStyle w:val="Heading1"/>
      </w:pPr>
      <w:r>
        <w:t>13. Correlation Model</w:t>
      </w:r>
    </w:p>
    <w:p>
      <w:r>
        <w:rPr>
          <w:rFonts w:ascii="Georgia" w:hAnsi="Georgia"/>
          <w:b w:val="0"/>
          <w:sz w:val="22"/>
        </w:rPr>
        <w:t>The runtime architecture recognizes: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Correlation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Session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Identifier</w:t>
      </w:r>
    </w:p>
    <w:p>
      <w:r>
        <w:rPr>
          <w:rFonts w:ascii="Georgia" w:hAnsi="Georgia"/>
          <w:b w:val="0"/>
          <w:sz w:val="22"/>
        </w:rPr>
        <w:t>Ownership: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/>
                <w:sz w:val="22"/>
              </w:rPr>
              <w:t>Identifier</w:t>
            </w:r>
          </w:p>
        </w:tc>
        <w:tc>
          <w:tcPr>
            <w:tcW w:type="dxa" w:w="4320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/>
                <w:sz w:val="22"/>
              </w:rPr>
              <w:t>Owner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Request Identifier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Correlation Identifier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Session Identifier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Identifier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</w:t>
            </w:r>
          </w:p>
        </w:tc>
      </w:tr>
    </w:tbl>
    <w:p>
      <w:pPr>
        <w:spacing w:after="0"/>
      </w:pPr>
    </w:p>
    <w:p>
      <w:pPr>
        <w:pStyle w:val="Heading1"/>
      </w:pPr>
      <w:r>
        <w:t>14. Runtime State Model</w:t>
      </w:r>
    </w:p>
    <w:p>
      <w:r>
        <w:rPr>
          <w:rFonts w:ascii="Georgia" w:hAnsi="Georgia"/>
          <w:b w:val="0"/>
          <w:sz w:val="22"/>
        </w:rPr>
        <w:t>The Cognitive Engine exclusively manages runtime state.</w:t>
      </w:r>
    </w:p>
    <w:p>
      <w:r>
        <w:rPr>
          <w:rFonts w:ascii="Georgia" w:hAnsi="Georgia"/>
          <w:b w:val="0"/>
          <w:sz w:val="22"/>
        </w:rPr>
        <w:t>Runtime state SHALL NOT be externally modified.</w:t>
      </w:r>
    </w:p>
    <w:p>
      <w:r>
        <w:rPr>
          <w:rFonts w:ascii="Georgia" w:hAnsi="Georgia"/>
          <w:b w:val="0"/>
          <w:sz w:val="22"/>
        </w:rPr>
        <w:t>External consumers may observe runtime state through authorized runtime references only.</w:t>
      </w:r>
    </w:p>
    <w:p>
      <w:pPr>
        <w:pStyle w:val="Heading1"/>
      </w:pPr>
      <w:r>
        <w:t>15. Error Categories</w:t>
      </w:r>
    </w:p>
    <w:p>
      <w:r>
        <w:rPr>
          <w:rFonts w:ascii="Georgia" w:hAnsi="Georgia"/>
          <w:b w:val="0"/>
          <w:sz w:val="22"/>
        </w:rPr>
        <w:t>The runtime architecture defines only architectural error categories.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Invalid Invocation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Validation Failure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Invocation Failure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Failure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Failure</w:t>
      </w:r>
    </w:p>
    <w:p>
      <w:r>
        <w:rPr>
          <w:rFonts w:ascii="Georgia" w:hAnsi="Georgia"/>
          <w:b w:val="0"/>
          <w:sz w:val="22"/>
        </w:rPr>
        <w:t>Business failures remain governed by Business Capability Specifications.</w:t>
      </w:r>
    </w:p>
    <w:p>
      <w:pPr>
        <w:pStyle w:val="Heading1"/>
      </w:pPr>
      <w:r>
        <w:t>16. Versioning</w:t>
      </w:r>
    </w:p>
    <w:p>
      <w:r>
        <w:rPr>
          <w:rFonts w:ascii="Georgia" w:hAnsi="Georgia"/>
          <w:b w:val="0"/>
          <w:sz w:val="22"/>
        </w:rPr>
        <w:t>Every invocation SHALL identify: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Invocation Version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Engine Version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Version Set</w:t>
      </w:r>
    </w:p>
    <w:p>
      <w:r>
        <w:rPr>
          <w:rFonts w:ascii="Georgia" w:hAnsi="Georgia"/>
          <w:b w:val="0"/>
          <w:sz w:val="22"/>
        </w:rPr>
        <w:t>Business capability versions remain governed by their authoritative Business Capability Specifications.</w:t>
      </w:r>
    </w:p>
    <w:p>
      <w:pPr>
        <w:pStyle w:val="Heading1"/>
      </w:pPr>
      <w:r>
        <w:t>17. Security Boundary</w:t>
      </w:r>
    </w:p>
    <w:p>
      <w:r>
        <w:rPr>
          <w:rFonts w:ascii="Georgia" w:hAnsi="Georgia"/>
          <w:b w:val="0"/>
          <w:sz w:val="22"/>
        </w:rPr>
        <w:t>The runtime architecture recognizes: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Authentication Boundary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Authorization Boundary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Trust Boundary</w:t>
      </w:r>
    </w:p>
    <w:p>
      <w:r>
        <w:rPr>
          <w:rFonts w:ascii="Georgia" w:hAnsi="Georgia"/>
          <w:b w:val="0"/>
          <w:sz w:val="22"/>
        </w:rPr>
        <w:t>Authentication and authorization remain outside the Cognitive Engine.</w:t>
      </w:r>
    </w:p>
    <w:p>
      <w:pPr>
        <w:pStyle w:val="Heading1"/>
      </w:pPr>
      <w:r>
        <w:t>18. Non-Goals</w:t>
      </w:r>
    </w:p>
    <w:p>
      <w:r>
        <w:rPr>
          <w:rFonts w:ascii="Georgia" w:hAnsi="Georgia"/>
          <w:b w:val="0"/>
          <w:sz w:val="22"/>
        </w:rPr>
        <w:t>EIC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Access Protocol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Ontology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DTOs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Repository interfaces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Database schemas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Message formats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UI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Product implementation</w:t>
      </w:r>
    </w:p>
    <w:p>
      <w:pPr>
        <w:pStyle w:val="Heading1"/>
      </w:pPr>
      <w:r>
        <w:t>19. Traceability</w:t>
      </w:r>
    </w:p>
    <w:p>
      <w:r>
        <w:rPr>
          <w:rFonts w:ascii="Georgia" w:hAnsi="Georgia"/>
          <w:b w:val="0"/>
          <w:sz w:val="22"/>
        </w:rPr>
        <w:t>This specification traces to: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EAH-001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RFC-010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RFC-011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CDS-001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ERM-001 v2.1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SRM-001 v2.1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ASM-001 v2.0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AEM-001 v1.0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KRM-001 v1.2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DRM-001 v1.1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GEM-001 v1.0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GRM-001 v1.1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PAD-001 v1.1</w:t>
      </w:r>
    </w:p>
    <w:p>
      <w:pPr>
        <w:pStyle w:val="Heading1"/>
      </w:pPr>
      <w:r>
        <w:t>20. Architecture Philosophy</w:t>
      </w:r>
    </w:p>
    <w:p>
      <w:r>
        <w:rPr>
          <w:rFonts w:ascii="Georgia" w:hAnsi="Georgia"/>
          <w:b w:val="0"/>
          <w:sz w:val="22"/>
        </w:rPr>
        <w:t>The Cognitive Engine is a self-contained runtime responsible for establishing enterprise understanding.</w:t>
      </w:r>
    </w:p>
    <w:p>
      <w:r>
        <w:rPr>
          <w:rFonts w:ascii="Georgia" w:hAnsi="Georgia"/>
          <w:b w:val="0"/>
          <w:sz w:val="22"/>
        </w:rPr>
        <w:t>Runtime consumers request enterprise cognition.</w:t>
      </w:r>
    </w:p>
    <w:p>
      <w:r>
        <w:rPr>
          <w:rFonts w:ascii="Georgia" w:hAnsi="Georgia"/>
          <w:b w:val="0"/>
          <w:sz w:val="22"/>
        </w:rPr>
        <w:t>The Cognitive Engine determines how enterprise cognition is established.</w:t>
      </w:r>
    </w:p>
    <w:p>
      <w:r>
        <w:rPr>
          <w:rFonts w:ascii="Georgia" w:hAnsi="Georgia"/>
          <w:b w:val="0"/>
          <w:sz w:val="22"/>
        </w:rPr>
        <w:t>Internal capabilities remain isolated behind a single invocation boundary.</w:t>
      </w:r>
    </w:p>
    <w:p>
      <w:r>
        <w:rPr>
          <w:rFonts w:ascii="Georgia" w:hAnsi="Georgia"/>
          <w:b w:val="0"/>
          <w:sz w:val="22"/>
        </w:rPr>
        <w:t>The Cognitive Engine Invocation Architecture preserves the independence, authority, and encapsulation of the Cognitive Engine while enabling multiple products to consume enterprise cognition through stable runtime contracts.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EIC-001 — Cognitive Engine Invocation Architecture</dc:title>
  <dc:subject>Runtime Architecture Specification</dc:subject>
  <dc:creator>CTEC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