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PAD-001</w:t>
        <w:br/>
        <w:t>Product Access Architecture</w:t>
      </w:r>
    </w:p>
    <w:p>
      <w:pPr>
        <w:jc w:val="center"/>
      </w:pPr>
      <w:r>
        <w:rPr>
          <w:b/>
        </w:rPr>
        <w:t>Version: 1.0</w:t>
        <w:br/>
        <w:t>Status: FROZEN</w:t>
        <w:br/>
        <w:t>Document Type: Product Architecture</w:t>
      </w:r>
    </w:p>
    <w:p>
      <w:pPr>
        <w:pStyle w:val="Heading1"/>
      </w:pPr>
      <w:r>
        <w:t>1. Executive Summary</w:t>
      </w:r>
    </w:p>
    <w:p>
      <w:r>
        <w:t>The Product Access Architecture (PAD) defines the architectural boundary between products built on CTEC and the CTEC Cognitive Engine. It establishes the only authorized interaction model between user-facing products and the engine. PAD does not define business semantics or engine implementation.</w:t>
      </w:r>
    </w:p>
    <w:p>
      <w:pPr>
        <w:pStyle w:val="Heading1"/>
      </w:pPr>
      <w:r>
        <w:t>2. Architectural Position</w:t>
      </w:r>
    </w:p>
    <w:p>
      <w:r>
        <w:t>Product Layer → PAD-001 → CTEC Cognitive Engine. PAD is the only architectural boundary between products and the engine.</w:t>
      </w:r>
    </w:p>
    <w:p>
      <w:pPr>
        <w:pStyle w:val="Heading1"/>
      </w:pPr>
      <w:r>
        <w:t>3. Purpose</w:t>
      </w:r>
    </w:p>
    <w:p>
      <w:r>
        <w:t>Expose enterprise cognition safely, standardize product interaction, preserve engine independence, and enable multiple products to reuse one engine.</w:t>
      </w:r>
    </w:p>
    <w:p>
      <w:pPr>
        <w:pStyle w:val="Heading1"/>
      </w:pPr>
      <w:r>
        <w:t>4. Scope</w:t>
      </w:r>
    </w:p>
    <w:p>
      <w:r>
        <w:t>PAD owns product access contracts, upload, question, ontology retrieval, explanation retrieval, history retrieval, session contracts, public APIs, and request validation. PAD does not own business semantics or Cognitive Engine capabilities.</w:t>
      </w:r>
    </w:p>
    <w:p>
      <w:pPr>
        <w:pStyle w:val="Heading1"/>
      </w:pPr>
      <w:r>
        <w:t>5. Product Architecture Principles</w:t>
      </w:r>
    </w:p>
    <w:p>
      <w:r>
        <w:t>PAP-001 through PAP-008: consume engine only through PAD contracts; never access engine internals or persistence; visualize, never create, enterprise understanding; remain engine-independent.</w:t>
      </w:r>
    </w:p>
    <w:p>
      <w:pPr>
        <w:pStyle w:val="Heading1"/>
      </w:pPr>
      <w:r>
        <w:t>6. Product Responsibilities</w:t>
      </w:r>
    </w:p>
    <w:p>
      <w:r>
        <w:t>User interaction, upload, question experience, ontology visualization, answer presentation, explanation, history, sessions, accessibility.</w:t>
      </w:r>
    </w:p>
    <w:p>
      <w:pPr>
        <w:pStyle w:val="Heading1"/>
      </w:pPr>
      <w:r>
        <w:t>7. Cognitive Engine Responsibilities</w:t>
      </w:r>
    </w:p>
    <w:p>
      <w:r>
        <w:t>Source Object processing, ERM, SRM, ASM, KRM, DRM, GRM, ontology generation, reasoning, explainability, confidence, governance.</w:t>
      </w:r>
    </w:p>
    <w:p>
      <w:pPr>
        <w:pStyle w:val="Heading1"/>
      </w:pPr>
      <w:r>
        <w:t>8. Product Access Contracts</w:t>
      </w:r>
    </w:p>
    <w:p>
      <w:r>
        <w:t>PAC-001 Import, PAC-002 Question, PAC-003 Ontology, PAC-004 Explanation, PAC-005 History, PAC-006 Engine Execution.</w:t>
      </w:r>
    </w:p>
    <w:p>
      <w:pPr>
        <w:pStyle w:val="Heading1"/>
      </w:pPr>
      <w:r>
        <w:t>9. Import Boundary</w:t>
      </w:r>
    </w:p>
    <w:p>
      <w:r>
        <w:t>Products accept CSV, JSON, XLSX and PDF, validate and forward to the engine. Source Object creation belongs to the engine.</w:t>
      </w:r>
    </w:p>
    <w:p>
      <w:pPr>
        <w:pStyle w:val="Heading1"/>
      </w:pPr>
      <w:r>
        <w:t>10. Question Boundary</w:t>
      </w:r>
    </w:p>
    <w:p>
      <w:r>
        <w:t>Products collect and validate business questions. Enterprise interpretation belongs to the engine.</w:t>
      </w:r>
    </w:p>
    <w:p>
      <w:pPr>
        <w:pStyle w:val="Heading1"/>
      </w:pPr>
      <w:r>
        <w:t>11. Ontology Boundary</w:t>
      </w:r>
    </w:p>
    <w:p>
      <w:r>
        <w:t>Products retrieve and visualize ontology only.</w:t>
      </w:r>
    </w:p>
    <w:p>
      <w:pPr>
        <w:pStyle w:val="Heading1"/>
      </w:pPr>
      <w:r>
        <w:t>12. Explainability Boundary</w:t>
      </w:r>
    </w:p>
    <w:p>
      <w:r>
        <w:t>Products display explanations, confidence, evidence, history and governance supplied by the engine.</w:t>
      </w:r>
    </w:p>
    <w:p>
      <w:pPr>
        <w:pStyle w:val="Heading1"/>
      </w:pPr>
      <w:r>
        <w:t>13. Session Boundary</w:t>
      </w:r>
    </w:p>
    <w:p>
      <w:r>
        <w:t>Products manage sessions and request lifecycle. Business state remains in the engine.</w:t>
      </w:r>
    </w:p>
    <w:p>
      <w:pPr>
        <w:pStyle w:val="Heading1"/>
      </w:pPr>
      <w:r>
        <w:t>14. Public Product APIs</w:t>
      </w:r>
    </w:p>
    <w:p>
      <w:r>
        <w:t>Authorized API categories: Import, Question, Ontology, Explanation, History, Execution Status and Graph.</w:t>
      </w:r>
    </w:p>
    <w:p>
      <w:pPr>
        <w:pStyle w:val="Heading1"/>
      </w:pPr>
      <w:r>
        <w:t>15. Engine Isolation Rules</w:t>
      </w:r>
    </w:p>
    <w:p>
      <w:r>
        <w:t>Products never invoke ERM/SRM/ASM/KRM/DRM/GRM directly and never access engine persistence.</w:t>
      </w:r>
    </w:p>
    <w:p>
      <w:pPr>
        <w:pStyle w:val="Heading1"/>
      </w:pPr>
      <w:r>
        <w:t>16. Non-Goals</w:t>
      </w:r>
    </w:p>
    <w:p>
      <w:r>
        <w:t>PAD does not define BCSs, persistence, DTOs, authentication, authorization or UI implementation.</w:t>
      </w:r>
    </w:p>
    <w:p>
      <w:pPr>
        <w:pStyle w:val="Heading1"/>
      </w:pPr>
      <w:r>
        <w:t>17. Traceability</w:t>
      </w:r>
    </w:p>
    <w:p>
      <w:r>
        <w:t>EAH-001, RFC-010, RFC-011, CDD-003, EAD-001, ERM-001, SRM-001, ASM-001, AEM-001, KRM-001, DRM-001, GEM-001, GRM-001, CDS-001.</w:t>
      </w:r>
    </w:p>
    <w:p>
      <w:pPr>
        <w:pStyle w:val="Heading1"/>
      </w:pPr>
      <w:r>
        <w:t>18. Product Philosophy</w:t>
      </w:r>
    </w:p>
    <w:p>
      <w:r>
        <w:t>Products ask questions and visualize enterprise understanding. The Cognitive Engine creates enterprise understanding. PAD is the stable contract between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