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Arial" w:hAnsi="Arial"/>
          <w:b/>
          <w:color w:val="17365D"/>
          <w:sz w:val="60"/>
        </w:rPr>
        <w:t>PAD-001</w:t>
      </w:r>
    </w:p>
    <w:p>
      <w:pPr>
        <w:jc w:val="center"/>
      </w:pPr>
      <w:r>
        <w:rPr>
          <w:rFonts w:ascii="Arial" w:hAnsi="Arial"/>
          <w:b/>
          <w:color w:val="17365D"/>
          <w:sz w:val="50"/>
        </w:rPr>
        <w:t>Product Access Protocol Specification</w:t>
      </w:r>
    </w:p>
    <w:p>
      <w:pPr>
        <w:spacing w:before="160"/>
        <w:jc w:val="center"/>
      </w:pPr>
      <w:r>
        <w:rPr>
          <w:rFonts w:ascii="Arial" w:hAnsi="Arial"/>
          <w:b/>
          <w:color w:val="376092"/>
          <w:sz w:val="22"/>
        </w:rPr>
        <w:t>ARCHITECTURE SPECIFICATION</w:t>
      </w:r>
    </w:p>
    <w:p>
      <w:pPr>
        <w:spacing w:before="900"/>
        <w:jc w:val="center"/>
      </w:pPr>
      <w:r>
        <w:rPr>
          <w:b w:val="0"/>
        </w:rPr>
        <w:t>Version: 1.2</w:t>
        <w:br/>
        <w:t>Status: FROZEN</w:t>
      </w:r>
    </w:p>
    <w:p>
      <w:r>
        <w:br w:type="page"/>
      </w:r>
    </w:p>
    <w:p>
      <w:pPr>
        <w:pStyle w:val="Heading1"/>
      </w:pPr>
      <w:r>
        <w:t>Document Control</w:t>
      </w:r>
    </w:p>
    <w:tbl>
      <w:tblPr>
        <w:tblW w:type="dxa" w:w="9000"/>
        <w:jc w:val="center"/>
        <w:tblLayout w:type="fixed"/>
        <w:tblLook w:firstColumn="1" w:firstRow="1" w:lastColumn="0" w:lastRow="0" w:noHBand="0" w:noVBand="1" w:val="04A0"/>
      </w:tblPr>
      <w:tblGrid>
        <w:gridCol w:w="2600"/>
        <w:gridCol w:w="6400"/>
      </w:tblGrid>
      <w:tr>
        <w:trPr>
          <w:tblHeader w:val="true"/>
        </w:trPr>
        <w:tc>
          <w:tcPr>
            <w:tcW w:type="dxa" w:w="2600"/>
            <w:vAlign w:val="center"/>
            <w:tcMar>
              <w:top w:w="100" w:type="dxa"/>
              <w:left w:w="100" w:type="dxa"/>
              <w:bottom w:w="100" w:type="dxa"/>
              <w:right w:w="100" w:type="dxa"/>
            </w:tcMar>
            <w:shd w:fill="EAF1F8"/>
          </w:tcPr>
          <w:p>
            <w:pPr>
              <w:spacing w:after="0"/>
            </w:pPr>
            <w:r>
              <w:rPr>
                <w:rFonts w:ascii="Georgia" w:hAnsi="Georgia"/>
                <w:b/>
                <w:color w:val="17365D"/>
                <w:sz w:val="19"/>
              </w:rPr>
              <w:t>Document ID</w:t>
            </w:r>
          </w:p>
        </w:tc>
        <w:tc>
          <w:tcPr>
            <w:tcW w:type="dxa" w:w="6400"/>
            <w:vAlign w:val="center"/>
            <w:tcMar>
              <w:top w:w="100" w:type="dxa"/>
              <w:left w:w="100" w:type="dxa"/>
              <w:bottom w:w="100" w:type="dxa"/>
              <w:right w:w="100" w:type="dxa"/>
            </w:tcMar>
            <w:shd w:fill="376092"/>
          </w:tcPr>
          <w:p>
            <w:pPr>
              <w:spacing w:after="0"/>
            </w:pPr>
            <w:r>
              <w:rPr>
                <w:rFonts w:ascii="Georgia" w:hAnsi="Georgia"/>
                <w:b/>
                <w:color w:val="FFFFFF"/>
                <w:sz w:val="19"/>
              </w:rPr>
              <w:t>PAD-001</w:t>
            </w:r>
          </w:p>
        </w:tc>
      </w:tr>
      <w:tr>
        <w:tc>
          <w:tcPr>
            <w:tcW w:type="dxa" w:w="2600"/>
            <w:vAlign w:val="center"/>
            <w:tcMar>
              <w:top w:w="100" w:type="dxa"/>
              <w:left w:w="100" w:type="dxa"/>
              <w:bottom w:w="100" w:type="dxa"/>
              <w:right w:w="100" w:type="dxa"/>
            </w:tcMar>
            <w:shd w:fill="EAF1F8"/>
          </w:tcPr>
          <w:p>
            <w:pPr>
              <w:spacing w:after="0"/>
            </w:pPr>
            <w:r>
              <w:rPr>
                <w:rFonts w:ascii="Georgia" w:hAnsi="Georgia"/>
                <w:b/>
                <w:color w:val="17365D"/>
                <w:sz w:val="19"/>
              </w:rPr>
              <w:t>Title</w:t>
            </w:r>
          </w:p>
        </w:tc>
        <w:tc>
          <w:tcPr>
            <w:tcW w:type="dxa" w:w="6400"/>
            <w:vAlign w:val="center"/>
            <w:tcMar>
              <w:top w:w="100" w:type="dxa"/>
              <w:left w:w="100" w:type="dxa"/>
              <w:bottom w:w="100" w:type="dxa"/>
              <w:right w:w="100" w:type="dxa"/>
            </w:tcMar>
          </w:tcPr>
          <w:p>
            <w:pPr>
              <w:spacing w:after="0"/>
            </w:pPr>
            <w:r>
              <w:rPr>
                <w:rFonts w:ascii="Georgia" w:hAnsi="Georgia"/>
                <w:sz w:val="19"/>
              </w:rPr>
              <w:t>Product Access Protocol Specification</w:t>
            </w:r>
          </w:p>
        </w:tc>
      </w:tr>
      <w:tr>
        <w:tc>
          <w:tcPr>
            <w:tcW w:type="dxa" w:w="2600"/>
            <w:vAlign w:val="center"/>
            <w:tcMar>
              <w:top w:w="100" w:type="dxa"/>
              <w:left w:w="100" w:type="dxa"/>
              <w:bottom w:w="100" w:type="dxa"/>
              <w:right w:w="100" w:type="dxa"/>
            </w:tcMar>
            <w:shd w:fill="EAF1F8"/>
          </w:tcPr>
          <w:p>
            <w:pPr>
              <w:spacing w:after="0"/>
            </w:pPr>
            <w:r>
              <w:rPr>
                <w:rFonts w:ascii="Georgia" w:hAnsi="Georgia"/>
                <w:b/>
                <w:color w:val="17365D"/>
                <w:sz w:val="19"/>
              </w:rPr>
              <w:t>Version</w:t>
            </w:r>
          </w:p>
        </w:tc>
        <w:tc>
          <w:tcPr>
            <w:tcW w:type="dxa" w:w="6400"/>
            <w:vAlign w:val="center"/>
            <w:tcMar>
              <w:top w:w="100" w:type="dxa"/>
              <w:left w:w="100" w:type="dxa"/>
              <w:bottom w:w="100" w:type="dxa"/>
              <w:right w:w="100" w:type="dxa"/>
            </w:tcMar>
          </w:tcPr>
          <w:p>
            <w:r>
              <w:t>1.2</w:t>
            </w:r>
          </w:p>
        </w:tc>
      </w:tr>
      <w:tr>
        <w:tc>
          <w:tcPr>
            <w:tcW w:type="dxa" w:w="2600"/>
            <w:vAlign w:val="center"/>
            <w:tcMar>
              <w:top w:w="100" w:type="dxa"/>
              <w:left w:w="100" w:type="dxa"/>
              <w:bottom w:w="100" w:type="dxa"/>
              <w:right w:w="100" w:type="dxa"/>
            </w:tcMar>
            <w:shd w:fill="EAF1F8"/>
          </w:tcPr>
          <w:p>
            <w:pPr>
              <w:spacing w:after="0"/>
            </w:pPr>
            <w:r>
              <w:rPr>
                <w:rFonts w:ascii="Georgia" w:hAnsi="Georgia"/>
                <w:b/>
                <w:color w:val="17365D"/>
                <w:sz w:val="19"/>
              </w:rPr>
              <w:t>Status</w:t>
            </w:r>
          </w:p>
        </w:tc>
        <w:tc>
          <w:tcPr>
            <w:tcW w:type="dxa" w:w="6400"/>
            <w:vAlign w:val="center"/>
            <w:tcMar>
              <w:top w:w="100" w:type="dxa"/>
              <w:left w:w="100" w:type="dxa"/>
              <w:bottom w:w="100" w:type="dxa"/>
              <w:right w:w="100" w:type="dxa"/>
            </w:tcMar>
          </w:tcPr>
          <w:p>
            <w:pPr>
              <w:spacing w:after="0"/>
            </w:pPr>
            <w:r>
              <w:rPr>
                <w:rFonts w:ascii="Georgia" w:hAnsi="Georgia"/>
                <w:sz w:val="19"/>
              </w:rPr>
              <w:t>FROZEN</w:t>
            </w:r>
          </w:p>
        </w:tc>
      </w:tr>
      <w:tr>
        <w:tc>
          <w:tcPr>
            <w:tcW w:type="dxa" w:w="2600"/>
            <w:vAlign w:val="center"/>
            <w:tcMar>
              <w:top w:w="100" w:type="dxa"/>
              <w:left w:w="100" w:type="dxa"/>
              <w:bottom w:w="100" w:type="dxa"/>
              <w:right w:w="100" w:type="dxa"/>
            </w:tcMar>
            <w:shd w:fill="EAF1F8"/>
          </w:tcPr>
          <w:p>
            <w:pPr>
              <w:spacing w:after="0"/>
            </w:pPr>
            <w:r>
              <w:rPr>
                <w:rFonts w:ascii="Georgia" w:hAnsi="Georgia"/>
                <w:b/>
                <w:color w:val="17365D"/>
                <w:sz w:val="19"/>
              </w:rPr>
              <w:t>Document Type</w:t>
            </w:r>
          </w:p>
        </w:tc>
        <w:tc>
          <w:tcPr>
            <w:tcW w:type="dxa" w:w="6400"/>
            <w:vAlign w:val="center"/>
            <w:tcMar>
              <w:top w:w="100" w:type="dxa"/>
              <w:left w:w="100" w:type="dxa"/>
              <w:bottom w:w="100" w:type="dxa"/>
              <w:right w:w="100" w:type="dxa"/>
            </w:tcMar>
          </w:tcPr>
          <w:p>
            <w:pPr>
              <w:spacing w:after="0"/>
            </w:pPr>
            <w:r>
              <w:rPr>
                <w:rFonts w:ascii="Georgia" w:hAnsi="Georgia"/>
                <w:sz w:val="19"/>
              </w:rPr>
              <w:t>Architecture Specification</w:t>
            </w:r>
          </w:p>
        </w:tc>
      </w:tr>
    </w:tbl>
    <w:p>
      <w:pPr>
        <w:pStyle w:val="Heading1"/>
      </w:pPr>
      <w:r>
        <w:t>Revision History</w:t>
      </w:r>
    </w:p>
    <w:p>
      <w:pPr>
        <w:pStyle w:val="Caption"/>
        <w:jc w:val="center"/>
      </w:pPr>
      <w:r>
        <w:t>Table 1 — Revision History</w:t>
      </w:r>
    </w:p>
    <w:tbl>
      <w:tblPr>
        <w:tblW w:type="dxa" w:w="9000"/>
        <w:jc w:val="center"/>
        <w:tblLayout w:type="fixed"/>
        <w:tblLook w:firstColumn="1" w:firstRow="1" w:lastColumn="0" w:lastRow="0" w:noHBand="0" w:noVBand="1" w:val="04A0"/>
      </w:tblPr>
      <w:tblGrid>
        <w:gridCol w:w="1500"/>
        <w:gridCol w:w="1800"/>
        <w:gridCol w:w="5700"/>
      </w:tblGrid>
      <w:tr>
        <w:trPr>
          <w:tblHeader w:val="true"/>
        </w:trPr>
        <w:tc>
          <w:tcPr>
            <w:tcW w:type="dxa" w:w="1500"/>
            <w:vAlign w:val="center"/>
            <w:tcMar>
              <w:top w:w="100" w:type="dxa"/>
              <w:left w:w="100" w:type="dxa"/>
              <w:bottom w:w="100" w:type="dxa"/>
              <w:right w:w="100" w:type="dxa"/>
            </w:tcMar>
            <w:shd w:fill="376092"/>
          </w:tcPr>
          <w:p>
            <w:pPr>
              <w:spacing w:after="0"/>
            </w:pPr>
            <w:r>
              <w:rPr>
                <w:rFonts w:ascii="Georgia" w:hAnsi="Georgia"/>
                <w:b/>
                <w:color w:val="FFFFFF"/>
                <w:sz w:val="19"/>
              </w:rPr>
              <w:t>Version</w:t>
            </w:r>
          </w:p>
        </w:tc>
        <w:tc>
          <w:tcPr>
            <w:tcW w:type="dxa" w:w="1800"/>
            <w:vAlign w:val="center"/>
            <w:tcMar>
              <w:top w:w="100" w:type="dxa"/>
              <w:left w:w="100" w:type="dxa"/>
              <w:bottom w:w="100" w:type="dxa"/>
              <w:right w:w="100" w:type="dxa"/>
            </w:tcMar>
            <w:shd w:fill="376092"/>
          </w:tcPr>
          <w:p>
            <w:r>
              <w:t>1.2</w:t>
            </w:r>
          </w:p>
        </w:tc>
        <w:tc>
          <w:tcPr>
            <w:tcW w:type="dxa" w:w="5700"/>
            <w:vAlign w:val="center"/>
            <w:tcMar>
              <w:top w:w="100" w:type="dxa"/>
              <w:left w:w="100" w:type="dxa"/>
              <w:bottom w:w="100" w:type="dxa"/>
              <w:right w:w="100" w:type="dxa"/>
            </w:tcMar>
            <w:shd w:fill="376092"/>
          </w:tcPr>
          <w:p>
            <w:pPr>
              <w:spacing w:after="0"/>
            </w:pPr>
            <w:r>
              <w:rPr>
                <w:rFonts w:ascii="Georgia" w:hAnsi="Georgia"/>
                <w:b/>
                <w:color w:val="FFFFFF"/>
                <w:sz w:val="19"/>
              </w:rPr>
              <w:t>Specification</w:t>
            </w:r>
          </w:p>
        </w:tc>
      </w:tr>
      <w:tr>
        <w:tc>
          <w:tcPr>
            <w:tcW w:type="dxa" w:w="1500"/>
            <w:vAlign w:val="center"/>
            <w:tcMar>
              <w:top w:w="100" w:type="dxa"/>
              <w:left w:w="100" w:type="dxa"/>
              <w:bottom w:w="100" w:type="dxa"/>
              <w:right w:w="100" w:type="dxa"/>
            </w:tcMar>
          </w:tcPr>
          <w:p>
            <w:pPr>
              <w:spacing w:after="0"/>
            </w:pPr>
            <w:r>
              <w:rPr>
                <w:rFonts w:ascii="Georgia" w:hAnsi="Georgia"/>
                <w:sz w:val="19"/>
              </w:rPr>
              <w:t>1.1</w:t>
            </w:r>
          </w:p>
        </w:tc>
        <w:tc>
          <w:tcPr>
            <w:tcW w:type="dxa" w:w="1800"/>
            <w:vAlign w:val="center"/>
            <w:tcMar>
              <w:top w:w="100" w:type="dxa"/>
              <w:left w:w="100" w:type="dxa"/>
              <w:bottom w:w="100" w:type="dxa"/>
              <w:right w:w="100" w:type="dxa"/>
            </w:tcMar>
          </w:tcPr>
          <w:p>
            <w:pPr>
              <w:spacing w:after="0"/>
            </w:pPr>
            <w:r>
              <w:rPr>
                <w:rFonts w:ascii="Georgia" w:hAnsi="Georgia"/>
                <w:sz w:val="19"/>
              </w:rPr>
              <w:t>FROZEN</w:t>
            </w:r>
          </w:p>
        </w:tc>
        <w:tc>
          <w:tcPr>
            <w:tcW w:type="dxa" w:w="5700"/>
            <w:vAlign w:val="center"/>
            <w:tcMar>
              <w:top w:w="100" w:type="dxa"/>
              <w:left w:w="100" w:type="dxa"/>
              <w:bottom w:w="100" w:type="dxa"/>
              <w:right w:w="100" w:type="dxa"/>
            </w:tcMar>
          </w:tcPr>
          <w:p>
            <w:pPr>
              <w:spacing w:after="0"/>
            </w:pPr>
            <w:r>
              <w:rPr>
                <w:rFonts w:ascii="Georgia" w:hAnsi="Georgia"/>
                <w:sz w:val="19"/>
              </w:rPr>
              <w:t>Product Access Protocol Specification</w:t>
            </w:r>
          </w:p>
        </w:tc>
      </w:tr>
      <w:tr>
        <w:tc>
          <w:tcPr>
            <w:tcW w:type="dxa" w:w="1500"/>
          </w:tcPr>
          <w:p>
            <w:r>
              <w:t>1.2</w:t>
            </w:r>
          </w:p>
        </w:tc>
        <w:tc>
          <w:tcPr>
            <w:tcW w:type="dxa" w:w="1800"/>
          </w:tcPr>
          <w:p>
            <w:r>
              <w:t>FROZEN</w:t>
            </w:r>
          </w:p>
        </w:tc>
        <w:tc>
          <w:tcPr>
            <w:tcW w:type="dxa" w:w="5700"/>
          </w:tcPr>
          <w:p>
            <w:r>
              <w:t>Clarifies execution observation, identifier ownership, replay, and runtime-document references.</w:t>
            </w:r>
          </w:p>
        </w:tc>
      </w:tr>
    </w:tbl>
    <w:p>
      <w:pPr>
        <w:pStyle w:val="Heading1"/>
      </w:pPr>
      <w:r>
        <w:t>Table of Contents</w:t>
      </w:r>
    </w:p>
    <w:p>
      <w:pPr>
        <w:tabs>
          <w:tab w:pos="9216" w:val="right" w:leader="dot"/>
        </w:tabs>
        <w:spacing w:after="40"/>
      </w:pPr>
      <w:r>
        <w:rPr>
          <w:b w:val="0"/>
        </w:rPr>
        <w:t>1 Executive Summary</w:t>
        <w:tab/>
        <w:t>4</w:t>
      </w:r>
    </w:p>
    <w:p>
      <w:pPr>
        <w:tabs>
          <w:tab w:pos="9216" w:val="right" w:leader="dot"/>
        </w:tabs>
        <w:spacing w:after="40"/>
      </w:pPr>
      <w:r>
        <w:rPr>
          <w:b w:val="0"/>
        </w:rPr>
        <w:t>2 Architectural Position</w:t>
        <w:tab/>
        <w:t>4</w:t>
      </w:r>
    </w:p>
    <w:p>
      <w:pPr>
        <w:tabs>
          <w:tab w:pos="9216" w:val="right" w:leader="dot"/>
        </w:tabs>
        <w:spacing w:after="40"/>
      </w:pPr>
      <w:r>
        <w:rPr>
          <w:b w:val="0"/>
        </w:rPr>
        <w:t>3 Scope</w:t>
        <w:tab/>
        <w:t>5</w:t>
      </w:r>
    </w:p>
    <w:p>
      <w:pPr>
        <w:tabs>
          <w:tab w:pos="9216" w:val="right" w:leader="dot"/>
        </w:tabs>
        <w:spacing w:after="40"/>
      </w:pPr>
      <w:r>
        <w:rPr>
          <w:b w:val="0"/>
        </w:rPr>
        <w:t>4 Product Architecture Principles</w:t>
        <w:tab/>
        <w:t>5</w:t>
      </w:r>
    </w:p>
    <w:p>
      <w:pPr>
        <w:tabs>
          <w:tab w:pos="9216" w:val="right" w:leader="dot"/>
        </w:tabs>
        <w:spacing w:after="40"/>
      </w:pPr>
      <w:r>
        <w:rPr>
          <w:b w:val="0"/>
        </w:rPr>
        <w:t>5 Product Responsibilities</w:t>
        <w:tab/>
        <w:t>6</w:t>
      </w:r>
    </w:p>
    <w:p>
      <w:pPr>
        <w:tabs>
          <w:tab w:pos="9216" w:val="right" w:leader="dot"/>
        </w:tabs>
        <w:spacing w:after="40"/>
      </w:pPr>
      <w:r>
        <w:rPr>
          <w:b w:val="0"/>
        </w:rPr>
        <w:t>6 Cognitive Engine Responsibilities</w:t>
        <w:tab/>
        <w:t>6</w:t>
      </w:r>
    </w:p>
    <w:p>
      <w:pPr>
        <w:tabs>
          <w:tab w:pos="9216" w:val="right" w:leader="dot"/>
        </w:tabs>
        <w:spacing w:after="40"/>
      </w:pPr>
      <w:r>
        <w:rPr>
          <w:b w:val="0"/>
        </w:rPr>
        <w:t>7 Engine Access Facade</w:t>
        <w:tab/>
        <w:t>7</w:t>
      </w:r>
    </w:p>
    <w:p>
      <w:pPr>
        <w:tabs>
          <w:tab w:pos="9216" w:val="right" w:leader="dot"/>
        </w:tabs>
        <w:spacing w:after="40"/>
      </w:pPr>
      <w:r>
        <w:rPr>
          <w:b w:val="0"/>
        </w:rPr>
        <w:t>8 Product Access Protocol Overview</w:t>
        <w:tab/>
        <w:t>7</w:t>
      </w:r>
    </w:p>
    <w:p>
      <w:pPr>
        <w:tabs>
          <w:tab w:pos="9216" w:val="right" w:leader="dot"/>
        </w:tabs>
        <w:spacing w:after="40"/>
      </w:pPr>
      <w:r>
        <w:rPr>
          <w:b w:val="0"/>
        </w:rPr>
        <w:t>9 PAC-001 Import Protocol</w:t>
        <w:tab/>
        <w:t>8</w:t>
      </w:r>
    </w:p>
    <w:p>
      <w:pPr>
        <w:tabs>
          <w:tab w:pos="9216" w:val="right" w:leader="dot"/>
        </w:tabs>
        <w:spacing w:after="40"/>
      </w:pPr>
      <w:r>
        <w:rPr>
          <w:b w:val="0"/>
        </w:rPr>
        <w:t>10 PAC-002 Question Protocol</w:t>
        <w:tab/>
        <w:t>9</w:t>
      </w:r>
    </w:p>
    <w:p>
      <w:pPr>
        <w:tabs>
          <w:tab w:pos="9216" w:val="right" w:leader="dot"/>
        </w:tabs>
        <w:spacing w:after="40"/>
      </w:pPr>
      <w:r>
        <w:rPr>
          <w:b w:val="0"/>
        </w:rPr>
        <w:t>11 PAC-003 Ontology Projection Protocol</w:t>
        <w:tab/>
        <w:t>10</w:t>
      </w:r>
    </w:p>
    <w:p>
      <w:pPr>
        <w:tabs>
          <w:tab w:pos="9216" w:val="right" w:leader="dot"/>
        </w:tabs>
        <w:spacing w:after="40"/>
      </w:pPr>
      <w:r>
        <w:rPr>
          <w:b w:val="0"/>
        </w:rPr>
        <w:t>12 PAC-004 Explainability Protocol</w:t>
        <w:tab/>
        <w:t>11</w:t>
      </w:r>
    </w:p>
    <w:p>
      <w:pPr>
        <w:tabs>
          <w:tab w:pos="9216" w:val="right" w:leader="dot"/>
        </w:tabs>
        <w:spacing w:after="40"/>
      </w:pPr>
      <w:r>
        <w:rPr>
          <w:b w:val="0"/>
        </w:rPr>
        <w:t>13 PAC-005 History Protocol</w:t>
        <w:tab/>
        <w:t>12</w:t>
      </w:r>
    </w:p>
    <w:p>
      <w:pPr>
        <w:tabs>
          <w:tab w:pos="9216" w:val="right" w:leader="dot"/>
        </w:tabs>
        <w:spacing w:after="40"/>
      </w:pPr>
      <w:r>
        <w:rPr>
          <w:b w:val="0"/>
        </w:rPr>
        <w:t>14 PAC-006 Execution Protocol</w:t>
        <w:tab/>
        <w:t>12</w:t>
      </w:r>
    </w:p>
    <w:p>
      <w:pPr>
        <w:tabs>
          <w:tab w:pos="9216" w:val="right" w:leader="dot"/>
        </w:tabs>
        <w:spacing w:after="40"/>
      </w:pPr>
      <w:r>
        <w:rPr>
          <w:b w:val="0"/>
        </w:rPr>
        <w:t>15 Correlation Model</w:t>
        <w:tab/>
        <w:t>13</w:t>
      </w:r>
    </w:p>
    <w:p>
      <w:pPr>
        <w:tabs>
          <w:tab w:pos="9216" w:val="right" w:leader="dot"/>
        </w:tabs>
        <w:spacing w:after="40"/>
      </w:pPr>
      <w:r>
        <w:rPr>
          <w:b w:val="0"/>
        </w:rPr>
        <w:t>16 Execution Observation</w:t>
        <w:tab/>
        <w:t>14</w:t>
      </w:r>
    </w:p>
    <w:p>
      <w:pPr>
        <w:tabs>
          <w:tab w:pos="9216" w:val="right" w:leader="dot"/>
        </w:tabs>
        <w:spacing w:after="40"/>
      </w:pPr>
      <w:r>
        <w:rPr>
          <w:b w:val="0"/>
        </w:rPr>
        <w:t>17 Error Model</w:t>
        <w:tab/>
        <w:t>14</w:t>
      </w:r>
    </w:p>
    <w:p>
      <w:pPr>
        <w:tabs>
          <w:tab w:pos="9216" w:val="right" w:leader="dot"/>
        </w:tabs>
        <w:spacing w:after="40"/>
      </w:pPr>
      <w:r>
        <w:rPr>
          <w:b w:val="0"/>
        </w:rPr>
        <w:t>18 Versioning Model</w:t>
        <w:tab/>
        <w:t>14</w:t>
      </w:r>
    </w:p>
    <w:p>
      <w:pPr>
        <w:tabs>
          <w:tab w:pos="9216" w:val="right" w:leader="dot"/>
        </w:tabs>
        <w:spacing w:after="40"/>
      </w:pPr>
      <w:r>
        <w:rPr>
          <w:b w:val="0"/>
        </w:rPr>
        <w:t>19 Idempotency Model</w:t>
        <w:tab/>
        <w:t>14</w:t>
      </w:r>
    </w:p>
    <w:p>
      <w:pPr>
        <w:tabs>
          <w:tab w:pos="9216" w:val="right" w:leader="dot"/>
        </w:tabs>
        <w:spacing w:after="40"/>
      </w:pPr>
      <w:r>
        <w:rPr>
          <w:b w:val="0"/>
        </w:rPr>
        <w:t>20 Security Boundary</w:t>
        <w:tab/>
        <w:t>14</w:t>
      </w:r>
    </w:p>
    <w:p>
      <w:pPr>
        <w:tabs>
          <w:tab w:pos="9216" w:val="right" w:leader="dot"/>
        </w:tabs>
        <w:spacing w:after="40"/>
      </w:pPr>
      <w:r>
        <w:rPr>
          <w:b w:val="0"/>
        </w:rPr>
        <w:t>21 Engine Isolation Rules</w:t>
        <w:tab/>
        <w:t>15</w:t>
      </w:r>
    </w:p>
    <w:p>
      <w:pPr>
        <w:tabs>
          <w:tab w:pos="9216" w:val="right" w:leader="dot"/>
        </w:tabs>
        <w:spacing w:after="40"/>
      </w:pPr>
      <w:r>
        <w:rPr>
          <w:b w:val="0"/>
        </w:rPr>
        <w:t>22 Responsibility Matrix</w:t>
        <w:tab/>
        <w:t>15</w:t>
      </w:r>
    </w:p>
    <w:p>
      <w:pPr>
        <w:tabs>
          <w:tab w:pos="9216" w:val="right" w:leader="dot"/>
        </w:tabs>
        <w:spacing w:after="40"/>
      </w:pPr>
      <w:r>
        <w:rPr>
          <w:b w:val="0"/>
        </w:rPr>
        <w:t>23 Traceability</w:t>
        <w:tab/>
        <w:t>16</w:t>
      </w:r>
    </w:p>
    <w:p>
      <w:pPr>
        <w:tabs>
          <w:tab w:pos="9216" w:val="right" w:leader="dot"/>
        </w:tabs>
        <w:spacing w:after="40"/>
      </w:pPr>
      <w:r>
        <w:rPr>
          <w:b w:val="0"/>
        </w:rPr>
        <w:t>24 Glossary</w:t>
        <w:tab/>
        <w:t>17</w:t>
      </w:r>
    </w:p>
    <w:p>
      <w:pPr>
        <w:tabs>
          <w:tab w:pos="9216" w:val="right" w:leader="dot"/>
        </w:tabs>
        <w:spacing w:after="40"/>
      </w:pPr>
      <w:r>
        <w:rPr>
          <w:b w:val="0"/>
        </w:rPr>
        <w:t>25 Product Philosophy</w:t>
        <w:tab/>
        <w:t>17</w:t>
      </w:r>
    </w:p>
    <w:p>
      <w:pPr>
        <w:pStyle w:val="Heading1"/>
        <w:pageBreakBefore/>
      </w:pPr>
      <w:r>
        <w:t>1 Executive Summary</w:t>
      </w:r>
    </w:p>
    <w:p>
      <w:pPr>
        <w:pStyle w:val="Heading2"/>
      </w:pPr>
      <w:r>
        <w:t>Purpose</w:t>
      </w:r>
    </w:p>
    <w:p>
      <w:pPr/>
      <w:r>
        <w:t>The Product Access Protocol (PAP) defines the authoritative architectural protocol governing all interactions between products and the CTEC Cognitive Engine.</w:t>
      </w:r>
    </w:p>
    <w:p>
      <w:pPr/>
      <w:r>
        <w:t>The protocol establishes a stable, technology-neutral contract through which products access enterprise cognition while preserving the independence, immutability, and authority of the Cognitive Engine.</w:t>
      </w:r>
    </w:p>
    <w:p>
      <w:pPr/>
      <w:r>
        <w:t>The Product Access Protocol does not define business semantics.</w:t>
      </w:r>
    </w:p>
    <w:p>
      <w:pPr/>
      <w:r>
        <w:t>The Product Access Protocol does not define Cognitive Engine behavior.</w:t>
      </w:r>
    </w:p>
    <w:p>
      <w:pPr/>
      <w:r>
        <w:t>The Product Access Protocol does not define implementation.</w:t>
      </w:r>
    </w:p>
    <w:p>
      <w:pPr/>
      <w:r>
        <w:t>It defines only the protocol through which products consume enterprise cognition.</w:t>
      </w:r>
    </w:p>
    <w:p>
      <w:pPr/>
      <w:r>
        <w:t>All products built on CTEC SHALL communicate with the Cognitive Engine exclusively through the Product Access Protocol.</w:t>
      </w:r>
    </w:p>
    <w:p>
      <w:pPr/>
      <w:r>
        <w:t>No product SHALL access Cognitive Engine internals directly.</w:t>
      </w:r>
    </w:p>
    <w:p>
      <w:pPr>
        <w:pStyle w:val="Heading1"/>
      </w:pPr>
      <w:r>
        <w:t>2 Architectural Position</w:t>
      </w:r>
    </w:p>
    <w:p>
      <w:pPr>
        <w:ind w:left="504" w:right="504"/>
        <w:jc w:val="center"/>
        <w:shd w:fill="F3F6FA"/>
      </w:pPr>
      <w:r>
        <w:rPr>
          <w:rFonts w:ascii="Courier New" w:hAnsi="Courier New"/>
          <w:sz w:val="17"/>
        </w:rPr>
        <w:t xml:space="preserve">                    Product Layer</w:t>
        <w:br/>
        <w:br/>
        <w:t xml:space="preserve"> Web</w:t>
        <w:br/>
        <w:t xml:space="preserve"> Mobile</w:t>
        <w:br/>
        <w:t xml:space="preserve"> Teams</w:t>
        <w:br/>
        <w:t xml:space="preserve"> Copilot</w:t>
        <w:br/>
        <w:t xml:space="preserve"> CLI</w:t>
        <w:br/>
        <w:t xml:space="preserve"> APIs</w:t>
        <w:br/>
        <w:t xml:space="preserve"> Partner Products</w:t>
        <w:br/>
        <w:br/>
        <w:t xml:space="preserve">               │</w:t>
        <w:br/>
        <w:t xml:space="preserve">               ▼</w:t>
        <w:br/>
        <w:br/>
        <w:t xml:space="preserve">      Product Access Protocol</w:t>
        <w:br/>
        <w:br/>
        <w:t xml:space="preserve">               │</w:t>
        <w:br/>
        <w:t xml:space="preserve">               ▼</w:t>
        <w:br/>
        <w:br/>
        <w:t xml:space="preserve">       Engine Access Facade</w:t>
        <w:br/>
        <w:br/>
        <w:t xml:space="preserve">               │</w:t>
        <w:br/>
        <w:t xml:space="preserve">               ▼</w:t>
        <w:br/>
        <w:br/>
        <w:t xml:space="preserve">      CTEC Cognitive Engine</w:t>
        <w:br/>
        <w:br/>
        <w:t xml:space="preserve"> ERM</w:t>
        <w:br/>
        <w:t xml:space="preserve"> SRM</w:t>
        <w:br/>
        <w:t xml:space="preserve"> ASM</w:t>
        <w:br/>
        <w:t xml:space="preserve"> KRM</w:t>
        <w:br/>
        <w:t xml:space="preserve"> DRM</w:t>
        <w:br/>
        <w:t xml:space="preserve"> GRM</w:t>
      </w:r>
    </w:p>
    <w:p>
      <w:pPr/>
      <w:r>
        <w:t>The Product Access Protocol is the sole architectural boundary between products and the Cognitive Engine.</w:t>
      </w:r>
    </w:p>
    <w:p>
      <w:pPr>
        <w:pStyle w:val="Heading1"/>
      </w:pPr>
      <w:r>
        <w:t>3 Scope</w:t>
      </w:r>
    </w:p>
    <w:p>
      <w:pPr/>
      <w:r>
        <w:t>The Product Access Protocol governs</w:t>
      </w:r>
    </w:p>
    <w:p>
      <w:pPr>
        <w:pStyle w:val="ListBullet"/>
      </w:pPr>
      <w:r>
        <w:t>Product requests</w:t>
      </w:r>
    </w:p>
    <w:p>
      <w:pPr>
        <w:pStyle w:val="ListBullet"/>
      </w:pPr>
      <w:r>
        <w:t>Product responses</w:t>
      </w:r>
    </w:p>
    <w:p>
      <w:pPr>
        <w:pStyle w:val="ListBullet"/>
      </w:pPr>
      <w:r>
        <w:t>Engine invocation</w:t>
      </w:r>
    </w:p>
    <w:p>
      <w:pPr>
        <w:pStyle w:val="ListBullet"/>
      </w:pPr>
      <w:r>
        <w:t>Ontology projection retrieval</w:t>
      </w:r>
    </w:p>
    <w:p>
      <w:pPr>
        <w:pStyle w:val="ListBullet"/>
      </w:pPr>
      <w:r>
        <w:t>Explanation retrieval</w:t>
      </w:r>
    </w:p>
    <w:p>
      <w:pPr>
        <w:pStyle w:val="ListBullet"/>
      </w:pPr>
      <w:r>
        <w:t>History retrieval</w:t>
      </w:r>
    </w:p>
    <w:p>
      <w:pPr>
        <w:pStyle w:val="ListBullet"/>
      </w:pPr>
      <w:r>
        <w:t>Product sessions</w:t>
      </w:r>
    </w:p>
    <w:p>
      <w:pPr>
        <w:pStyle w:val="ListBullet"/>
      </w:pPr>
      <w:r>
        <w:t>Product correlation</w:t>
      </w:r>
    </w:p>
    <w:p>
      <w:pPr>
        <w:pStyle w:val="ListBullet"/>
      </w:pPr>
      <w:r>
        <w:rPr>
          <w:b w:val="0"/>
        </w:rPr>
        <w:t>Execution observation</w:t>
      </w:r>
    </w:p>
    <w:p>
      <w:pPr>
        <w:pStyle w:val="ListBullet"/>
      </w:pPr>
      <w:r>
        <w:t>Versioning</w:t>
      </w:r>
    </w:p>
    <w:p>
      <w:pPr>
        <w:pStyle w:val="ListBullet"/>
      </w:pPr>
      <w:r>
        <w:t>Idempotency</w:t>
      </w:r>
    </w:p>
    <w:p>
      <w:pPr>
        <w:pStyle w:val="ListBullet"/>
      </w:pPr>
      <w:r>
        <w:t>Error contracts</w:t>
      </w:r>
    </w:p>
    <w:p>
      <w:pPr/>
      <w:r>
        <w:t>The protocol SHALL NOT define</w:t>
      </w:r>
    </w:p>
    <w:p>
      <w:pPr>
        <w:pStyle w:val="ListBullet"/>
      </w:pPr>
      <w:r>
        <w:t>Business semantics</w:t>
      </w:r>
    </w:p>
    <w:p>
      <w:pPr>
        <w:pStyle w:val="ListBullet"/>
      </w:pPr>
      <w:r>
        <w:t>Canonical Enterprise Ontology</w:t>
      </w:r>
    </w:p>
    <w:p>
      <w:pPr>
        <w:pStyle w:val="ListBullet"/>
      </w:pPr>
      <w:r>
        <w:t>Source Object creation</w:t>
      </w:r>
    </w:p>
    <w:p>
      <w:pPr>
        <w:pStyle w:val="ListBullet"/>
      </w:pPr>
      <w:r>
        <w:t>Entity Resolution</w:t>
      </w:r>
    </w:p>
    <w:p>
      <w:pPr>
        <w:pStyle w:val="ListBullet"/>
      </w:pPr>
      <w:r>
        <w:t>Semantic Resolution</w:t>
      </w:r>
    </w:p>
    <w:p>
      <w:pPr>
        <w:pStyle w:val="ListBullet"/>
      </w:pPr>
      <w:r>
        <w:t>Assertion</w:t>
      </w:r>
    </w:p>
    <w:p>
      <w:pPr>
        <w:pStyle w:val="ListBullet"/>
      </w:pPr>
      <w:r>
        <w:t>Knowledge</w:t>
      </w:r>
    </w:p>
    <w:p>
      <w:pPr>
        <w:pStyle w:val="ListBullet"/>
      </w:pPr>
      <w:r>
        <w:t>Decision</w:t>
      </w:r>
    </w:p>
    <w:p>
      <w:pPr>
        <w:pStyle w:val="ListBullet"/>
      </w:pPr>
      <w:r>
        <w:t>Governance</w:t>
      </w:r>
    </w:p>
    <w:p>
      <w:pPr>
        <w:pStyle w:val="ListBullet"/>
      </w:pPr>
      <w:r>
        <w:t>Persistence</w:t>
      </w:r>
    </w:p>
    <w:p>
      <w:pPr>
        <w:pStyle w:val="ListBullet"/>
      </w:pPr>
      <w:r>
        <w:t>Repository access</w:t>
      </w:r>
    </w:p>
    <w:p>
      <w:pPr>
        <w:pStyle w:val="ListBullet"/>
      </w:pPr>
      <w:r>
        <w:t>REST implementation</w:t>
      </w:r>
    </w:p>
    <w:p>
      <w:pPr>
        <w:pStyle w:val="ListBullet"/>
      </w:pPr>
      <w:r>
        <w:t>UI implementation</w:t>
      </w:r>
    </w:p>
    <w:p>
      <w:pPr>
        <w:pStyle w:val="Heading1"/>
      </w:pPr>
      <w:r>
        <w:t>4 Product Architecture Principles</w:t>
      </w:r>
    </w:p>
    <w:p>
      <w:pPr>
        <w:pStyle w:val="Heading2"/>
      </w:pPr>
      <w:r>
        <w:t>PAP-001</w:t>
      </w:r>
    </w:p>
    <w:p>
      <w:pPr/>
      <w:r>
        <w:t>Products SHALL consume the Cognitive Engine exclusively through the Product Access Protocol.</w:t>
      </w:r>
    </w:p>
    <w:p>
      <w:pPr>
        <w:pStyle w:val="Heading2"/>
      </w:pPr>
      <w:r>
        <w:t>PAP-002</w:t>
      </w:r>
    </w:p>
    <w:p>
      <w:pPr/>
      <w:r>
        <w:t>Products SHALL NEVER invoke internal Cognitive Engine capabilities directly.</w:t>
      </w:r>
    </w:p>
    <w:p>
      <w:pPr>
        <w:pStyle w:val="Heading2"/>
      </w:pPr>
      <w:r>
        <w:t>PAP-003</w:t>
      </w:r>
    </w:p>
    <w:p>
      <w:pPr/>
      <w:r>
        <w:t>Products SHALL NEVER access Cognitive Engine persistence.</w:t>
      </w:r>
    </w:p>
    <w:p>
      <w:pPr>
        <w:pStyle w:val="Heading2"/>
      </w:pPr>
      <w:r>
        <w:t>PAP-004</w:t>
      </w:r>
    </w:p>
    <w:p>
      <w:pPr/>
      <w:r>
        <w:t>Products SHALL NEVER construct enterprise understanding.</w:t>
      </w:r>
    </w:p>
    <w:p>
      <w:pPr/>
      <w:r>
        <w:t>Enterprise understanding SHALL be established exclusively by the Cognitive Engine.</w:t>
      </w:r>
    </w:p>
    <w:p>
      <w:pPr>
        <w:pStyle w:val="Heading2"/>
      </w:pPr>
      <w:r>
        <w:t>PAP-005</w:t>
      </w:r>
    </w:p>
    <w:p>
      <w:pPr/>
      <w:r>
        <w:t>Products SHALL visualize enterprise understanding.</w:t>
      </w:r>
    </w:p>
    <w:p>
      <w:pPr/>
      <w:r>
        <w:t>Products SHALL NOT create enterprise understanding.</w:t>
      </w:r>
    </w:p>
    <w:p>
      <w:pPr>
        <w:pStyle w:val="Heading2"/>
      </w:pPr>
      <w:r>
        <w:t>PAP-006</w:t>
      </w:r>
    </w:p>
    <w:p>
      <w:pPr/>
      <w:r>
        <w:t>Products SHALL present explanations produced by the Cognitive Engine.</w:t>
      </w:r>
    </w:p>
    <w:p>
      <w:pPr/>
      <w:r>
        <w:t>Products SHALL NOT generate explanations.</w:t>
      </w:r>
    </w:p>
    <w:p>
      <w:pPr>
        <w:pStyle w:val="Heading2"/>
      </w:pPr>
      <w:r>
        <w:t>PAP-007</w:t>
      </w:r>
    </w:p>
    <w:p>
      <w:pPr/>
      <w:r>
        <w:t>Products SHALL remain independent of Cognitive Engine implementation.</w:t>
      </w:r>
    </w:p>
    <w:p>
      <w:pPr>
        <w:pStyle w:val="Heading2"/>
      </w:pPr>
      <w:r>
        <w:t>PAP-008</w:t>
      </w:r>
    </w:p>
    <w:p>
      <w:pPr/>
      <w:r>
        <w:t>Multiple independent products SHALL reuse one Cognitive Engine.</w:t>
      </w:r>
    </w:p>
    <w:p>
      <w:pPr>
        <w:pStyle w:val="Heading1"/>
      </w:pPr>
      <w:r>
        <w:t>5 Product Responsibilities</w:t>
      </w:r>
    </w:p>
    <w:p>
      <w:pPr/>
      <w:r>
        <w:t>Products own</w:t>
      </w:r>
    </w:p>
    <w:p>
      <w:pPr>
        <w:pStyle w:val="ListBullet"/>
      </w:pPr>
      <w:r>
        <w:t>User interaction</w:t>
      </w:r>
    </w:p>
    <w:p>
      <w:pPr>
        <w:pStyle w:val="ListBullet"/>
      </w:pPr>
      <w:r>
        <w:t>Upload experience</w:t>
      </w:r>
    </w:p>
    <w:p>
      <w:pPr>
        <w:pStyle w:val="ListBullet"/>
      </w:pPr>
      <w:r>
        <w:t>Question experience</w:t>
      </w:r>
    </w:p>
    <w:p>
      <w:pPr>
        <w:pStyle w:val="ListBullet"/>
      </w:pPr>
      <w:r>
        <w:t>Ontology visualization</w:t>
      </w:r>
    </w:p>
    <w:p>
      <w:pPr>
        <w:pStyle w:val="ListBullet"/>
      </w:pPr>
      <w:r>
        <w:t>Answer presentation</w:t>
      </w:r>
    </w:p>
    <w:p>
      <w:pPr>
        <w:pStyle w:val="ListBullet"/>
      </w:pPr>
      <w:r>
        <w:t>Explanation presentation</w:t>
      </w:r>
    </w:p>
    <w:p>
      <w:pPr>
        <w:pStyle w:val="ListBullet"/>
      </w:pPr>
      <w:r>
        <w:t>Session lifecycle</w:t>
      </w:r>
    </w:p>
    <w:p>
      <w:pPr>
        <w:pStyle w:val="ListBullet"/>
      </w:pPr>
      <w:r>
        <w:t>Accessibility</w:t>
      </w:r>
    </w:p>
    <w:p>
      <w:pPr>
        <w:pStyle w:val="ListBullet"/>
      </w:pPr>
      <w:r>
        <w:t>Navigation</w:t>
      </w:r>
    </w:p>
    <w:p>
      <w:pPr/>
      <w:r>
        <w:t>Products SHALL NOT own</w:t>
      </w:r>
    </w:p>
    <w:p>
      <w:pPr>
        <w:pStyle w:val="ListBullet"/>
      </w:pPr>
      <w:r>
        <w:t>Entity Resolution</w:t>
      </w:r>
    </w:p>
    <w:p>
      <w:pPr>
        <w:pStyle w:val="ListBullet"/>
      </w:pPr>
      <w:r>
        <w:t>Semantic Resolution</w:t>
      </w:r>
    </w:p>
    <w:p>
      <w:pPr>
        <w:pStyle w:val="ListBullet"/>
      </w:pPr>
      <w:r>
        <w:t>Assertion</w:t>
      </w:r>
    </w:p>
    <w:p>
      <w:pPr>
        <w:pStyle w:val="ListBullet"/>
      </w:pPr>
      <w:r>
        <w:t>Knowledge</w:t>
      </w:r>
    </w:p>
    <w:p>
      <w:pPr>
        <w:pStyle w:val="ListBullet"/>
      </w:pPr>
      <w:r>
        <w:t>Decision</w:t>
      </w:r>
    </w:p>
    <w:p>
      <w:pPr>
        <w:pStyle w:val="ListBullet"/>
      </w:pPr>
      <w:r>
        <w:t>Governance</w:t>
      </w:r>
    </w:p>
    <w:p>
      <w:pPr>
        <w:pStyle w:val="ListBullet"/>
      </w:pPr>
      <w:r>
        <w:t>Business reasoning</w:t>
      </w:r>
    </w:p>
    <w:p>
      <w:pPr>
        <w:pStyle w:val="ListBullet"/>
      </w:pPr>
      <w:r>
        <w:t>Policy evaluation</w:t>
      </w:r>
    </w:p>
    <w:p>
      <w:pPr>
        <w:pStyle w:val="ListBullet"/>
      </w:pPr>
      <w:r>
        <w:t>Confidence calculation</w:t>
      </w:r>
    </w:p>
    <w:p>
      <w:pPr>
        <w:pStyle w:val="ListBullet"/>
      </w:pPr>
      <w:r>
        <w:t>Currentness determination</w:t>
      </w:r>
    </w:p>
    <w:p>
      <w:pPr>
        <w:pStyle w:val="Heading1"/>
      </w:pPr>
      <w:r>
        <w:t>6 Cognitive Engine Responsibilities</w:t>
      </w:r>
    </w:p>
    <w:p>
      <w:pPr/>
      <w:r>
        <w:t>The Cognitive Engine owns</w:t>
      </w:r>
    </w:p>
    <w:p>
      <w:pPr>
        <w:pStyle w:val="ListBullet"/>
      </w:pPr>
      <w:r>
        <w:t>Source Object creation</w:t>
      </w:r>
    </w:p>
    <w:p>
      <w:pPr>
        <w:pStyle w:val="ListBullet"/>
      </w:pPr>
      <w:r>
        <w:t>Entity Resolution</w:t>
      </w:r>
    </w:p>
    <w:p>
      <w:pPr>
        <w:pStyle w:val="ListBullet"/>
      </w:pPr>
      <w:r>
        <w:t>Semantic Resolution</w:t>
      </w:r>
    </w:p>
    <w:p>
      <w:pPr>
        <w:pStyle w:val="ListBullet"/>
      </w:pPr>
      <w:r>
        <w:t>Assertion</w:t>
      </w:r>
    </w:p>
    <w:p>
      <w:pPr>
        <w:pStyle w:val="ListBullet"/>
      </w:pPr>
      <w:r>
        <w:t>Knowledge</w:t>
      </w:r>
    </w:p>
    <w:p>
      <w:pPr>
        <w:pStyle w:val="ListBullet"/>
      </w:pPr>
      <w:r>
        <w:t>Decision</w:t>
      </w:r>
    </w:p>
    <w:p>
      <w:pPr>
        <w:pStyle w:val="ListBullet"/>
      </w:pPr>
      <w:r>
        <w:t>Governance</w:t>
      </w:r>
    </w:p>
    <w:p>
      <w:pPr>
        <w:pStyle w:val="ListBullet"/>
      </w:pPr>
      <w:r>
        <w:t>Business reasoning</w:t>
      </w:r>
    </w:p>
    <w:p>
      <w:pPr>
        <w:pStyle w:val="ListBullet"/>
      </w:pPr>
      <w:r>
        <w:t>Confidence</w:t>
      </w:r>
    </w:p>
    <w:p>
      <w:pPr>
        <w:pStyle w:val="ListBullet"/>
      </w:pPr>
      <w:r>
        <w:t>Explainability generation</w:t>
      </w:r>
    </w:p>
    <w:p>
      <w:pPr>
        <w:pStyle w:val="ListBullet"/>
      </w:pPr>
      <w:r>
        <w:t>History generation</w:t>
      </w:r>
    </w:p>
    <w:p>
      <w:pPr>
        <w:pStyle w:val="ListBullet"/>
      </w:pPr>
      <w:r>
        <w:t>Current record determination</w:t>
      </w:r>
    </w:p>
    <w:p>
      <w:pPr>
        <w:pStyle w:val="ListBullet"/>
      </w:pPr>
      <w:r>
        <w:t>Enterprise Ontology Projection generation</w:t>
      </w:r>
    </w:p>
    <w:p>
      <w:pPr>
        <w:pStyle w:val="Heading2"/>
      </w:pPr>
      <w:r>
        <w:t>Clarification</w:t>
      </w:r>
    </w:p>
    <w:p>
      <w:pPr/>
      <w:r>
        <w:t>The Cognitive Engine SHALL NOT generate or modify the Canonical Enterprise Ontology defined by RFC-010.</w:t>
      </w:r>
    </w:p>
    <w:p>
      <w:pPr/>
      <w:r>
        <w:t>The Cognitive Engine SHALL generate runtime Enterprise Ontology Projections derived from:</w:t>
      </w:r>
    </w:p>
    <w:p>
      <w:pPr>
        <w:pStyle w:val="ListBullet"/>
      </w:pPr>
      <w:r>
        <w:t>the frozen Canonical Enterprise Ontology</w:t>
      </w:r>
    </w:p>
    <w:p>
      <w:pPr>
        <w:pStyle w:val="ListBullet"/>
      </w:pPr>
      <w:r>
        <w:t>immutable cognitive records</w:t>
      </w:r>
    </w:p>
    <w:p>
      <w:pPr/>
      <w:r>
        <w:t>Products consume projections only.</w:t>
      </w:r>
    </w:p>
    <w:p>
      <w:pPr>
        <w:pStyle w:val="Heading1"/>
      </w:pPr>
      <w:r>
        <w:t>7 Engine Access Facade</w:t>
      </w:r>
    </w:p>
    <w:p>
      <w:pPr/>
      <w:r>
        <w:t>The Engine Access Facade is the runtime realization of the Product Access Protocol and forms the exclusive architectural boundary through which products invoke the Cognitive Engine.</w:t>
      </w:r>
    </w:p>
    <w:p>
      <w:pPr/>
      <w:r>
        <w:t>Responsibilities</w:t>
      </w:r>
    </w:p>
    <w:p>
      <w:pPr>
        <w:pStyle w:val="ListBullet"/>
      </w:pPr>
      <w:r>
        <w:t>Receive Product Access Protocol requests</w:t>
      </w:r>
    </w:p>
    <w:p>
      <w:pPr>
        <w:pStyle w:val="ListBullet"/>
      </w:pPr>
      <w:r>
        <w:t>Validate protocol contracts</w:t>
      </w:r>
    </w:p>
    <w:p>
      <w:pPr>
        <w:pStyle w:val="ListBullet"/>
      </w:pPr>
      <w:r>
        <w:t>Invoke Cognitive Engine</w:t>
      </w:r>
    </w:p>
    <w:p>
      <w:pPr>
        <w:pStyle w:val="ListBullet"/>
      </w:pPr>
      <w:r>
        <w:t>Return protocol responses</w:t>
      </w:r>
    </w:p>
    <w:p>
      <w:pPr/>
      <w:r>
        <w:t>The Engine Access Facade SHALL NOT expose internal Cognitive Engine capabilities.</w:t>
      </w:r>
    </w:p>
    <w:p>
      <w:pPr>
        <w:pStyle w:val="Heading1"/>
      </w:pPr>
      <w:r>
        <w:t>8 Product Access Protocol Overview</w:t>
      </w:r>
    </w:p>
    <w:p>
      <w:pPr/>
      <w:r>
        <w:t>The Product Access Protocol consists of six protocol contracts.</w:t>
      </w:r>
    </w:p>
    <w:p>
      <w:pPr>
        <w:pStyle w:val="Caption"/>
        <w:jc w:val="center"/>
      </w:pPr>
      <w:r>
        <w:t>Table 2 — Product Access Protocol Contracts</w:t>
      </w:r>
    </w:p>
    <w:tbl>
      <w:tblPr>
        <w:tblW w:type="dxa" w:w="9000"/>
        <w:jc w:val="center"/>
        <w:tblLayout w:type="fixed"/>
        <w:tblLook w:firstColumn="1" w:firstRow="1" w:lastColumn="0" w:lastRow="0" w:noHBand="0" w:noVBand="1" w:val="04A0"/>
      </w:tblPr>
      <w:tblGrid>
        <w:gridCol w:w="2200"/>
        <w:gridCol w:w="6800"/>
      </w:tblGrid>
      <w:tr>
        <w:trPr>
          <w:tblHeader w:val="true"/>
        </w:trPr>
        <w:tc>
          <w:tcPr>
            <w:tcW w:type="dxa" w:w="2200"/>
            <w:vAlign w:val="center"/>
            <w:tcMar>
              <w:top w:w="100" w:type="dxa"/>
              <w:left w:w="100" w:type="dxa"/>
              <w:bottom w:w="100" w:type="dxa"/>
              <w:right w:w="100" w:type="dxa"/>
            </w:tcMar>
            <w:shd w:fill="376092"/>
          </w:tcPr>
          <w:p>
            <w:pPr>
              <w:spacing w:after="0"/>
            </w:pPr>
            <w:r>
              <w:rPr>
                <w:rFonts w:ascii="Georgia" w:hAnsi="Georgia"/>
                <w:b/>
                <w:color w:val="FFFFFF"/>
                <w:sz w:val="19"/>
              </w:rPr>
              <w:t>Contract</w:t>
            </w:r>
          </w:p>
        </w:tc>
        <w:tc>
          <w:tcPr>
            <w:tcW w:type="dxa" w:w="6800"/>
            <w:vAlign w:val="center"/>
            <w:tcMar>
              <w:top w:w="100" w:type="dxa"/>
              <w:left w:w="100" w:type="dxa"/>
              <w:bottom w:w="100" w:type="dxa"/>
              <w:right w:w="100" w:type="dxa"/>
            </w:tcMar>
            <w:shd w:fill="376092"/>
          </w:tcPr>
          <w:p>
            <w:pPr>
              <w:spacing w:after="0"/>
            </w:pPr>
            <w:r>
              <w:rPr>
                <w:rFonts w:ascii="Georgia" w:hAnsi="Georgia"/>
                <w:b/>
                <w:color w:val="FFFFFF"/>
                <w:sz w:val="19"/>
              </w:rPr>
              <w:t>Purpose</w:t>
            </w:r>
          </w:p>
        </w:tc>
      </w:tr>
      <w:tr>
        <w:tc>
          <w:tcPr>
            <w:tcW w:type="dxa" w:w="2200"/>
            <w:vAlign w:val="center"/>
            <w:tcMar>
              <w:top w:w="100" w:type="dxa"/>
              <w:left w:w="100" w:type="dxa"/>
              <w:bottom w:w="100" w:type="dxa"/>
              <w:right w:w="100" w:type="dxa"/>
            </w:tcMar>
          </w:tcPr>
          <w:p>
            <w:pPr>
              <w:spacing w:after="0"/>
            </w:pPr>
            <w:r>
              <w:rPr>
                <w:rFonts w:ascii="Georgia" w:hAnsi="Georgia"/>
                <w:sz w:val="19"/>
              </w:rPr>
              <w:t>PAC-001</w:t>
            </w:r>
          </w:p>
        </w:tc>
        <w:tc>
          <w:tcPr>
            <w:tcW w:type="dxa" w:w="6800"/>
            <w:vAlign w:val="center"/>
            <w:tcMar>
              <w:top w:w="100" w:type="dxa"/>
              <w:left w:w="100" w:type="dxa"/>
              <w:bottom w:w="100" w:type="dxa"/>
              <w:right w:w="100" w:type="dxa"/>
            </w:tcMar>
          </w:tcPr>
          <w:p>
            <w:pPr>
              <w:spacing w:after="0"/>
            </w:pPr>
            <w:r>
              <w:rPr>
                <w:rFonts w:ascii="Georgia" w:hAnsi="Georgia"/>
                <w:sz w:val="19"/>
              </w:rPr>
              <w:t>Import Protocol</w:t>
            </w:r>
          </w:p>
        </w:tc>
      </w:tr>
      <w:tr>
        <w:tc>
          <w:tcPr>
            <w:tcW w:type="dxa" w:w="2200"/>
            <w:vAlign w:val="center"/>
            <w:tcMar>
              <w:top w:w="100" w:type="dxa"/>
              <w:left w:w="100" w:type="dxa"/>
              <w:bottom w:w="100" w:type="dxa"/>
              <w:right w:w="100" w:type="dxa"/>
            </w:tcMar>
          </w:tcPr>
          <w:p>
            <w:pPr>
              <w:spacing w:after="0"/>
            </w:pPr>
            <w:r>
              <w:rPr>
                <w:rFonts w:ascii="Georgia" w:hAnsi="Georgia"/>
                <w:sz w:val="19"/>
              </w:rPr>
              <w:t>PAC-002</w:t>
            </w:r>
          </w:p>
        </w:tc>
        <w:tc>
          <w:tcPr>
            <w:tcW w:type="dxa" w:w="6800"/>
            <w:vAlign w:val="center"/>
            <w:tcMar>
              <w:top w:w="100" w:type="dxa"/>
              <w:left w:w="100" w:type="dxa"/>
              <w:bottom w:w="100" w:type="dxa"/>
              <w:right w:w="100" w:type="dxa"/>
            </w:tcMar>
          </w:tcPr>
          <w:p>
            <w:pPr>
              <w:spacing w:after="0"/>
            </w:pPr>
            <w:r>
              <w:rPr>
                <w:rFonts w:ascii="Georgia" w:hAnsi="Georgia"/>
                <w:sz w:val="19"/>
              </w:rPr>
              <w:t>Question Protocol</w:t>
            </w:r>
          </w:p>
        </w:tc>
      </w:tr>
      <w:tr>
        <w:tc>
          <w:tcPr>
            <w:tcW w:type="dxa" w:w="2200"/>
            <w:vAlign w:val="center"/>
            <w:tcMar>
              <w:top w:w="100" w:type="dxa"/>
              <w:left w:w="100" w:type="dxa"/>
              <w:bottom w:w="100" w:type="dxa"/>
              <w:right w:w="100" w:type="dxa"/>
            </w:tcMar>
          </w:tcPr>
          <w:p>
            <w:pPr>
              <w:spacing w:after="0"/>
            </w:pPr>
            <w:r>
              <w:rPr>
                <w:rFonts w:ascii="Georgia" w:hAnsi="Georgia"/>
                <w:sz w:val="19"/>
              </w:rPr>
              <w:t>PAC-003</w:t>
            </w:r>
          </w:p>
        </w:tc>
        <w:tc>
          <w:tcPr>
            <w:tcW w:type="dxa" w:w="6800"/>
            <w:vAlign w:val="center"/>
            <w:tcMar>
              <w:top w:w="100" w:type="dxa"/>
              <w:left w:w="100" w:type="dxa"/>
              <w:bottom w:w="100" w:type="dxa"/>
              <w:right w:w="100" w:type="dxa"/>
            </w:tcMar>
          </w:tcPr>
          <w:p>
            <w:pPr>
              <w:spacing w:after="0"/>
            </w:pPr>
            <w:r>
              <w:rPr>
                <w:rFonts w:ascii="Georgia" w:hAnsi="Georgia"/>
                <w:sz w:val="19"/>
              </w:rPr>
              <w:t>Ontology Projection Protocol</w:t>
            </w:r>
          </w:p>
        </w:tc>
      </w:tr>
      <w:tr>
        <w:tc>
          <w:tcPr>
            <w:tcW w:type="dxa" w:w="2200"/>
            <w:vAlign w:val="center"/>
            <w:tcMar>
              <w:top w:w="100" w:type="dxa"/>
              <w:left w:w="100" w:type="dxa"/>
              <w:bottom w:w="100" w:type="dxa"/>
              <w:right w:w="100" w:type="dxa"/>
            </w:tcMar>
          </w:tcPr>
          <w:p>
            <w:pPr>
              <w:spacing w:after="0"/>
            </w:pPr>
            <w:r>
              <w:rPr>
                <w:rFonts w:ascii="Georgia" w:hAnsi="Georgia"/>
                <w:sz w:val="19"/>
              </w:rPr>
              <w:t>PAC-004</w:t>
            </w:r>
          </w:p>
        </w:tc>
        <w:tc>
          <w:tcPr>
            <w:tcW w:type="dxa" w:w="6800"/>
            <w:vAlign w:val="center"/>
            <w:tcMar>
              <w:top w:w="100" w:type="dxa"/>
              <w:left w:w="100" w:type="dxa"/>
              <w:bottom w:w="100" w:type="dxa"/>
              <w:right w:w="100" w:type="dxa"/>
            </w:tcMar>
          </w:tcPr>
          <w:p>
            <w:pPr>
              <w:spacing w:after="0"/>
            </w:pPr>
            <w:r>
              <w:rPr>
                <w:rFonts w:ascii="Georgia" w:hAnsi="Georgia"/>
                <w:sz w:val="19"/>
              </w:rPr>
              <w:t>Explainability Protocol</w:t>
            </w:r>
          </w:p>
        </w:tc>
      </w:tr>
      <w:tr>
        <w:tc>
          <w:tcPr>
            <w:tcW w:type="dxa" w:w="2200"/>
            <w:vAlign w:val="center"/>
            <w:tcMar>
              <w:top w:w="100" w:type="dxa"/>
              <w:left w:w="100" w:type="dxa"/>
              <w:bottom w:w="100" w:type="dxa"/>
              <w:right w:w="100" w:type="dxa"/>
            </w:tcMar>
          </w:tcPr>
          <w:p>
            <w:pPr>
              <w:spacing w:after="0"/>
            </w:pPr>
            <w:r>
              <w:rPr>
                <w:rFonts w:ascii="Georgia" w:hAnsi="Georgia"/>
                <w:sz w:val="19"/>
              </w:rPr>
              <w:t>PAC-005</w:t>
            </w:r>
          </w:p>
        </w:tc>
        <w:tc>
          <w:tcPr>
            <w:tcW w:type="dxa" w:w="6800"/>
            <w:vAlign w:val="center"/>
            <w:tcMar>
              <w:top w:w="100" w:type="dxa"/>
              <w:left w:w="100" w:type="dxa"/>
              <w:bottom w:w="100" w:type="dxa"/>
              <w:right w:w="100" w:type="dxa"/>
            </w:tcMar>
          </w:tcPr>
          <w:p>
            <w:pPr>
              <w:spacing w:after="0"/>
            </w:pPr>
            <w:r>
              <w:rPr>
                <w:rFonts w:ascii="Georgia" w:hAnsi="Georgia"/>
                <w:sz w:val="19"/>
              </w:rPr>
              <w:t>History Protocol</w:t>
            </w:r>
          </w:p>
        </w:tc>
      </w:tr>
      <w:tr>
        <w:tc>
          <w:tcPr>
            <w:tcW w:type="dxa" w:w="2200"/>
            <w:vAlign w:val="center"/>
            <w:tcMar>
              <w:top w:w="100" w:type="dxa"/>
              <w:left w:w="100" w:type="dxa"/>
              <w:bottom w:w="100" w:type="dxa"/>
              <w:right w:w="100" w:type="dxa"/>
            </w:tcMar>
          </w:tcPr>
          <w:p>
            <w:pPr>
              <w:spacing w:after="0"/>
            </w:pPr>
            <w:r>
              <w:rPr>
                <w:rFonts w:ascii="Georgia" w:hAnsi="Georgia"/>
                <w:sz w:val="19"/>
              </w:rPr>
              <w:t>PAC-006</w:t>
            </w:r>
          </w:p>
        </w:tc>
        <w:tc>
          <w:tcPr>
            <w:tcW w:type="dxa" w:w="6800"/>
            <w:vAlign w:val="center"/>
            <w:tcMar>
              <w:top w:w="100" w:type="dxa"/>
              <w:left w:w="100" w:type="dxa"/>
              <w:bottom w:w="100" w:type="dxa"/>
              <w:right w:w="100" w:type="dxa"/>
            </w:tcMar>
          </w:tcPr>
          <w:p>
            <w:pPr>
              <w:spacing w:after="0"/>
            </w:pPr>
            <w:r>
              <w:rPr>
                <w:rFonts w:ascii="Georgia" w:hAnsi="Georgia"/>
                <w:sz w:val="19"/>
              </w:rPr>
              <w:t>Execution Protocol</w:t>
            </w:r>
          </w:p>
        </w:tc>
      </w:tr>
    </w:tbl>
    <w:p>
      <w:pPr>
        <w:pStyle w:val="Heading1"/>
      </w:pPr>
      <w:r>
        <w:t>9 PAC-001 Import Protocol</w:t>
      </w:r>
    </w:p>
    <w:p>
      <w:pPr>
        <w:pStyle w:val="Heading2"/>
      </w:pPr>
      <w:r>
        <w:t>Purpose</w:t>
      </w:r>
    </w:p>
    <w:p>
      <w:pPr/>
      <w:r>
        <w:t>Receive external enterprise content.</w:t>
      </w:r>
    </w:p>
    <w:p>
      <w:pPr>
        <w:pStyle w:val="Heading2"/>
      </w:pPr>
      <w:r>
        <w:t>Responsibilities</w:t>
      </w:r>
    </w:p>
    <w:p>
      <w:pPr>
        <w:pStyle w:val="ListBullet"/>
      </w:pPr>
      <w:r>
        <w:t>Accept opaque content</w:t>
      </w:r>
    </w:p>
    <w:p>
      <w:pPr>
        <w:pStyle w:val="ListBullet"/>
      </w:pPr>
      <w:r>
        <w:t>Validate protocol requirements</w:t>
      </w:r>
    </w:p>
    <w:p>
      <w:pPr>
        <w:pStyle w:val="ListBullet"/>
      </w:pPr>
      <w:r>
        <w:t>Transfer accepted content to Engine</w:t>
      </w:r>
    </w:p>
    <w:p>
      <w:pPr/>
      <w:r>
        <w:t>The Product Layer SHALL NOT create Source Objects.</w:t>
      </w:r>
    </w:p>
    <w:p>
      <w:pPr/>
      <w:r>
        <w:t>The Cognitive Engine exclusively owns Source Object creation.</w:t>
      </w:r>
    </w:p>
    <w:p>
      <w:pPr>
        <w:pStyle w:val="Heading2"/>
      </w:pPr>
      <w:r>
        <w:t>Request Contract</w:t>
      </w:r>
    </w:p>
    <w:p>
      <w:pPr/>
      <w:r>
        <w:t>Contains</w:t>
      </w:r>
    </w:p>
    <w:p>
      <w:pPr>
        <w:pStyle w:val="ListBullet"/>
      </w:pPr>
      <w:r>
        <w:t>Protocol Version</w:t>
      </w:r>
    </w:p>
    <w:p>
      <w:pPr>
        <w:pStyle w:val="ListBullet"/>
      </w:pPr>
      <w:r>
        <w:t>Correlation Identifier</w:t>
      </w:r>
    </w:p>
    <w:p>
      <w:pPr>
        <w:pStyle w:val="ListBullet"/>
      </w:pPr>
      <w:r>
        <w:t>Request Identifier</w:t>
      </w:r>
    </w:p>
    <w:p>
      <w:pPr>
        <w:pStyle w:val="ListBullet"/>
      </w:pPr>
      <w:r>
        <w:t>Session Identifier</w:t>
      </w:r>
    </w:p>
    <w:p>
      <w:pPr>
        <w:pStyle w:val="ListBullet"/>
      </w:pPr>
      <w:r>
        <w:t>Source System Identifier</w:t>
      </w:r>
    </w:p>
    <w:p>
      <w:pPr>
        <w:pStyle w:val="ListBullet"/>
      </w:pPr>
      <w:r>
        <w:t>Content Metadata</w:t>
      </w:r>
    </w:p>
    <w:p>
      <w:pPr>
        <w:pStyle w:val="ListBullet"/>
      </w:pPr>
      <w:r>
        <w:t>Uploaded Content Reference</w:t>
      </w:r>
    </w:p>
    <w:p>
      <w:pPr>
        <w:pStyle w:val="Heading2"/>
      </w:pPr>
      <w:r>
        <w:t>Response Contract</w:t>
      </w:r>
    </w:p>
    <w:p>
      <w:pPr/>
      <w:r>
        <w:t>Returns</w:t>
      </w:r>
    </w:p>
    <w:p>
      <w:pPr>
        <w:pStyle w:val="ListBullet"/>
      </w:pPr>
      <w:r>
        <w:t>Request Identifier</w:t>
      </w:r>
    </w:p>
    <w:p>
      <w:pPr>
        <w:pStyle w:val="ListBullet"/>
      </w:pPr>
      <w:r>
        <w:t>Correlation Identifier</w:t>
      </w:r>
    </w:p>
    <w:p>
      <w:pPr>
        <w:pStyle w:val="ListBullet"/>
      </w:pPr>
      <w:r>
        <w:t>Acceptance Status</w:t>
      </w:r>
    </w:p>
    <w:p>
      <w:pPr>
        <w:pStyle w:val="ListBullet"/>
      </w:pPr>
      <w:r>
        <w:t>Execution Identifier</w:t>
      </w:r>
    </w:p>
    <w:p>
      <w:pPr>
        <w:pStyle w:val="Heading2"/>
      </w:pPr>
      <w:r>
        <w:t>Error Categories</w:t>
      </w:r>
    </w:p>
    <w:p>
      <w:pPr>
        <w:pStyle w:val="ListBullet"/>
      </w:pPr>
      <w:r>
        <w:t>Invalid Request</w:t>
      </w:r>
    </w:p>
    <w:p>
      <w:pPr>
        <w:pStyle w:val="ListBullet"/>
      </w:pPr>
      <w:r>
        <w:t>Validation Failure</w:t>
      </w:r>
    </w:p>
    <w:p>
      <w:pPr>
        <w:pStyle w:val="ListBullet"/>
      </w:pPr>
      <w:r>
        <w:t>Unsupported Content</w:t>
      </w:r>
    </w:p>
    <w:p>
      <w:pPr>
        <w:pStyle w:val="ListBullet"/>
      </w:pPr>
      <w:r>
        <w:t>Engine Unavailable</w:t>
      </w:r>
    </w:p>
    <w:p>
      <w:pPr>
        <w:pStyle w:val="Heading2"/>
      </w:pPr>
      <w:r>
        <w:t>Versioning</w:t>
      </w:r>
    </w:p>
    <w:p>
      <w:pPr/>
      <w:r>
        <w:t>The request SHALL identify the Protocol Version. Versioning SHALL follow the Versioning Model defined by this specification.</w:t>
      </w:r>
    </w:p>
    <w:p>
      <w:pPr>
        <w:pStyle w:val="Heading2"/>
      </w:pPr>
      <w:r>
        <w:t>Idempotency</w:t>
      </w:r>
    </w:p>
    <w:p>
      <w:pPr/>
      <w:r>
        <w:t>Requests SHALL support idempotent replay using Request Identifier.</w:t>
      </w:r>
    </w:p>
    <w:p>
      <w:pPr>
        <w:pStyle w:val="Heading1"/>
      </w:pPr>
      <w:r>
        <w:t>10 PAC-002 Question Protocol</w:t>
      </w:r>
    </w:p>
    <w:p>
      <w:pPr>
        <w:pStyle w:val="Heading2"/>
      </w:pPr>
      <w:r>
        <w:t>Purpose</w:t>
      </w:r>
    </w:p>
    <w:p>
      <w:pPr/>
      <w:r>
        <w:t>Receive business questions.</w:t>
      </w:r>
    </w:p>
    <w:p>
      <w:pPr/>
      <w:r>
        <w:t>Products perform deterministic request classification only.</w:t>
      </w:r>
    </w:p>
    <w:p>
      <w:pPr/>
      <w:r>
        <w:t>The Cognitive Engine performs enterprise interpretation.</w:t>
      </w:r>
    </w:p>
    <w:p>
      <w:pPr>
        <w:pStyle w:val="Heading2"/>
      </w:pPr>
      <w:r>
        <w:t>Request Categories</w:t>
      </w:r>
    </w:p>
    <w:p>
      <w:pPr>
        <w:pStyle w:val="ListBullet"/>
      </w:pPr>
      <w:r>
        <w:t>Decision Request</w:t>
      </w:r>
    </w:p>
    <w:p>
      <w:pPr>
        <w:pStyle w:val="ListBullet"/>
      </w:pPr>
      <w:r>
        <w:t>Knowledge Request</w:t>
      </w:r>
    </w:p>
    <w:p>
      <w:pPr>
        <w:pStyle w:val="ListBullet"/>
      </w:pPr>
      <w:r>
        <w:t>Governance Request</w:t>
      </w:r>
    </w:p>
    <w:p>
      <w:pPr>
        <w:pStyle w:val="ListBullet"/>
      </w:pPr>
      <w:r>
        <w:t>Ontology Request</w:t>
      </w:r>
    </w:p>
    <w:p>
      <w:pPr>
        <w:pStyle w:val="ListBullet"/>
      </w:pPr>
      <w:r>
        <w:t>History Request</w:t>
      </w:r>
    </w:p>
    <w:p>
      <w:pPr>
        <w:pStyle w:val="Heading2"/>
      </w:pPr>
      <w:r>
        <w:t>Request Contract</w:t>
      </w:r>
    </w:p>
    <w:p>
      <w:pPr/>
      <w:r>
        <w:t>Contains</w:t>
      </w:r>
    </w:p>
    <w:p>
      <w:pPr>
        <w:pStyle w:val="ListBullet"/>
      </w:pPr>
      <w:r>
        <w:t>Protocol Version</w:t>
      </w:r>
    </w:p>
    <w:p>
      <w:pPr>
        <w:pStyle w:val="ListBullet"/>
      </w:pPr>
      <w:r>
        <w:t>Correlation Identifier</w:t>
      </w:r>
    </w:p>
    <w:p>
      <w:pPr>
        <w:pStyle w:val="ListBullet"/>
      </w:pPr>
      <w:r>
        <w:t>Session Identifier</w:t>
      </w:r>
    </w:p>
    <w:p>
      <w:pPr>
        <w:pStyle w:val="ListBullet"/>
      </w:pPr>
      <w:r>
        <w:t>Request Identifier</w:t>
      </w:r>
    </w:p>
    <w:p>
      <w:pPr>
        <w:pStyle w:val="ListBullet"/>
      </w:pPr>
      <w:r>
        <w:t>Question Text</w:t>
      </w:r>
    </w:p>
    <w:p>
      <w:pPr>
        <w:pStyle w:val="Heading2"/>
      </w:pPr>
      <w:r>
        <w:t>Response Contract</w:t>
      </w:r>
    </w:p>
    <w:p>
      <w:pPr/>
      <w:r>
        <w:t>Returns</w:t>
      </w:r>
    </w:p>
    <w:p>
      <w:pPr>
        <w:pStyle w:val="ListBullet"/>
      </w:pPr>
      <w:r>
        <w:t>Execution Identifier</w:t>
      </w:r>
    </w:p>
    <w:p>
      <w:pPr>
        <w:pStyle w:val="ListBullet"/>
      </w:pPr>
      <w:r>
        <w:t>Accepted Status</w:t>
      </w:r>
    </w:p>
    <w:p>
      <w:pPr/>
      <w:r>
        <w:t>PAC-002 is asynchronous. Acceptance acknowledges protocol validation only. Execution completion is retrieved using PAC-006 and the returned Execution Identifier.</w:t>
      </w:r>
    </w:p>
    <w:p>
      <w:pPr>
        <w:pStyle w:val="Heading2"/>
      </w:pPr>
      <w:r>
        <w:t>Error Categories</w:t>
      </w:r>
    </w:p>
    <w:p>
      <w:pPr>
        <w:pStyle w:val="ListBullet"/>
      </w:pPr>
      <w:r>
        <w:t>Invalid Request</w:t>
      </w:r>
    </w:p>
    <w:p>
      <w:pPr>
        <w:pStyle w:val="ListBullet"/>
      </w:pPr>
      <w:r>
        <w:t>Unsupported Request</w:t>
      </w:r>
    </w:p>
    <w:p>
      <w:pPr>
        <w:pStyle w:val="ListBullet"/>
      </w:pPr>
      <w:r>
        <w:t>Validation Failure</w:t>
      </w:r>
    </w:p>
    <w:p>
      <w:pPr>
        <w:pStyle w:val="ListBullet"/>
      </w:pPr>
      <w:r>
        <w:t>Engine Failure</w:t>
      </w:r>
    </w:p>
    <w:p>
      <w:pPr>
        <w:pStyle w:val="Heading2"/>
      </w:pPr>
      <w:r>
        <w:t>Versioning</w:t>
      </w:r>
    </w:p>
    <w:p>
      <w:pPr/>
      <w:r>
        <w:t>The request SHALL identify the Protocol Version. Versioning SHALL follow the Versioning Model defined by this specification.</w:t>
      </w:r>
    </w:p>
    <w:p>
      <w:pPr>
        <w:pStyle w:val="Heading2"/>
      </w:pPr>
      <w:r>
        <w:t>Idempotency</w:t>
      </w:r>
    </w:p>
    <w:p>
      <w:pPr/>
      <w:r>
        <w:t>Requests SHALL support idempotent replay using Request Identifier.</w:t>
      </w:r>
    </w:p>
    <w:p>
      <w:pPr>
        <w:pStyle w:val="Heading1"/>
      </w:pPr>
      <w:r>
        <w:t>11 PAC-003 Ontology Projection Protocol</w:t>
      </w:r>
    </w:p>
    <w:p>
      <w:pPr>
        <w:pStyle w:val="Heading2"/>
      </w:pPr>
      <w:r>
        <w:t>Purpose</w:t>
      </w:r>
    </w:p>
    <w:p>
      <w:pPr/>
      <w:r>
        <w:t>Retrieve Enterprise Ontology Projections.</w:t>
      </w:r>
    </w:p>
    <w:p>
      <w:pPr>
        <w:pStyle w:val="Heading2"/>
      </w:pPr>
      <w:r>
        <w:t>Responsibilities</w:t>
      </w:r>
    </w:p>
    <w:p>
      <w:pPr>
        <w:pStyle w:val="ListBullet"/>
      </w:pPr>
      <w:r>
        <w:t>Retrieve runtime Enterprise Ontology Projections</w:t>
      </w:r>
    </w:p>
    <w:p>
      <w:pPr>
        <w:pStyle w:val="ListBullet"/>
      </w:pPr>
      <w:r>
        <w:t>Return projection content to products</w:t>
      </w:r>
    </w:p>
    <w:p>
      <w:pPr>
        <w:pStyle w:val="ListBullet"/>
      </w:pPr>
      <w:r>
        <w:t>Preserve the frozen Canonical Enterprise Ontology boundary</w:t>
      </w:r>
    </w:p>
    <w:p>
      <w:pPr/>
      <w:r>
        <w:t>Products SHALL retrieve runtime projections only.</w:t>
      </w:r>
    </w:p>
    <w:p>
      <w:pPr/>
      <w:r>
        <w:t>Products SHALL NEVER retrieve or modify the frozen Canonical Enterprise Ontology.</w:t>
      </w:r>
    </w:p>
    <w:p>
      <w:pPr>
        <w:pStyle w:val="Heading2"/>
      </w:pPr>
      <w:r>
        <w:t>Request Contract</w:t>
      </w:r>
    </w:p>
    <w:p>
      <w:pPr/>
      <w:r>
        <w:t>Contains</w:t>
      </w:r>
    </w:p>
    <w:p>
      <w:pPr>
        <w:pStyle w:val="ListBullet"/>
      </w:pPr>
      <w:r>
        <w:t>Protocol Version</w:t>
      </w:r>
    </w:p>
    <w:p>
      <w:pPr>
        <w:pStyle w:val="ListBullet"/>
      </w:pPr>
      <w:r>
        <w:t>Correlation Identifier</w:t>
      </w:r>
    </w:p>
    <w:p>
      <w:pPr>
        <w:pStyle w:val="ListBullet"/>
      </w:pPr>
      <w:r>
        <w:t>Request Identifier</w:t>
      </w:r>
    </w:p>
    <w:p>
      <w:pPr>
        <w:pStyle w:val="ListBullet"/>
      </w:pPr>
      <w:r>
        <w:t>Session Identifier</w:t>
      </w:r>
    </w:p>
    <w:p>
      <w:pPr>
        <w:pStyle w:val="Heading2"/>
      </w:pPr>
      <w:r>
        <w:t>Response Contract</w:t>
      </w:r>
    </w:p>
    <w:p>
      <w:pPr/>
      <w:r>
        <w:t>Returns</w:t>
      </w:r>
    </w:p>
    <w:p>
      <w:pPr>
        <w:pStyle w:val="ListBullet"/>
      </w:pPr>
      <w:r>
        <w:t>Nodes</w:t>
      </w:r>
    </w:p>
    <w:p>
      <w:pPr>
        <w:pStyle w:val="ListBullet"/>
      </w:pPr>
      <w:r>
        <w:t>Relationships</w:t>
      </w:r>
    </w:p>
    <w:p>
      <w:pPr>
        <w:pStyle w:val="ListBullet"/>
      </w:pPr>
      <w:r>
        <w:t>Highlighted Paths</w:t>
      </w:r>
    </w:p>
    <w:p>
      <w:pPr>
        <w:pStyle w:val="ListBullet"/>
      </w:pPr>
      <w:r>
        <w:t>Projection Metadata</w:t>
      </w:r>
    </w:p>
    <w:p>
      <w:pPr>
        <w:pStyle w:val="Heading2"/>
      </w:pPr>
      <w:r>
        <w:t>Error Categories</w:t>
      </w:r>
    </w:p>
    <w:p>
      <w:pPr>
        <w:pStyle w:val="ListBullet"/>
      </w:pPr>
      <w:r>
        <w:t>Invalid Request</w:t>
      </w:r>
    </w:p>
    <w:p>
      <w:pPr>
        <w:pStyle w:val="ListBullet"/>
      </w:pPr>
      <w:r>
        <w:t>Unsupported Request</w:t>
      </w:r>
    </w:p>
    <w:p>
      <w:pPr>
        <w:pStyle w:val="ListBullet"/>
      </w:pPr>
      <w:r>
        <w:t>Validation Failure</w:t>
      </w:r>
    </w:p>
    <w:p>
      <w:pPr>
        <w:pStyle w:val="ListBullet"/>
      </w:pPr>
      <w:r>
        <w:t>Engine Failure</w:t>
      </w:r>
    </w:p>
    <w:p>
      <w:pPr>
        <w:pStyle w:val="Heading2"/>
      </w:pPr>
      <w:r>
        <w:t>Versioning</w:t>
      </w:r>
    </w:p>
    <w:p>
      <w:pPr/>
      <w:r>
        <w:t>The request SHALL identify the Protocol Version. Versioning SHALL follow the Versioning Model defined by this specification.</w:t>
      </w:r>
    </w:p>
    <w:p>
      <w:pPr>
        <w:pStyle w:val="Heading2"/>
      </w:pPr>
      <w:r>
        <w:t>Idempotency</w:t>
      </w:r>
    </w:p>
    <w:p>
      <w:pPr/>
      <w:r>
        <w:t>Requests SHALL support idempotent replay using Request Identifier.</w:t>
      </w:r>
    </w:p>
    <w:p>
      <w:pPr>
        <w:pStyle w:val="Heading1"/>
      </w:pPr>
      <w:r>
        <w:t>12 PAC-004 Explainability Protocol</w:t>
      </w:r>
    </w:p>
    <w:p>
      <w:pPr>
        <w:pStyle w:val="Heading2"/>
      </w:pPr>
      <w:r>
        <w:t>Purpose</w:t>
      </w:r>
    </w:p>
    <w:p>
      <w:pPr/>
      <w:r>
        <w:t>Retrieve explanations produced by the Cognitive Engine.</w:t>
      </w:r>
    </w:p>
    <w:p>
      <w:pPr>
        <w:pStyle w:val="Heading2"/>
      </w:pPr>
      <w:r>
        <w:t>Responsibilities</w:t>
      </w:r>
    </w:p>
    <w:p>
      <w:pPr>
        <w:pStyle w:val="ListBullet"/>
      </w:pPr>
      <w:r>
        <w:t>Retrieve Cognitive Engine explanations</w:t>
      </w:r>
    </w:p>
    <w:p>
      <w:pPr>
        <w:pStyle w:val="ListBullet"/>
      </w:pPr>
      <w:r>
        <w:t>Return explanation content to products</w:t>
      </w:r>
    </w:p>
    <w:p>
      <w:pPr>
        <w:pStyle w:val="ListBullet"/>
      </w:pPr>
      <w:r>
        <w:t>Preserve Cognitive Engine ownership of explanation generation</w:t>
      </w:r>
    </w:p>
    <w:p>
      <w:pPr>
        <w:pStyle w:val="Heading2"/>
      </w:pPr>
      <w:r>
        <w:t>Request Contract</w:t>
      </w:r>
    </w:p>
    <w:p>
      <w:pPr/>
      <w:r>
        <w:t>Contains</w:t>
      </w:r>
    </w:p>
    <w:p>
      <w:pPr>
        <w:pStyle w:val="ListBullet"/>
      </w:pPr>
      <w:r>
        <w:t>Protocol Version</w:t>
      </w:r>
    </w:p>
    <w:p>
      <w:pPr>
        <w:pStyle w:val="ListBullet"/>
      </w:pPr>
      <w:r>
        <w:t>Correlation Identifier</w:t>
      </w:r>
    </w:p>
    <w:p>
      <w:pPr>
        <w:pStyle w:val="ListBullet"/>
      </w:pPr>
      <w:r>
        <w:t>Request Identifier</w:t>
      </w:r>
    </w:p>
    <w:p>
      <w:pPr>
        <w:pStyle w:val="ListBullet"/>
      </w:pPr>
      <w:r>
        <w:t>Session Identifier</w:t>
      </w:r>
    </w:p>
    <w:p>
      <w:pPr>
        <w:pStyle w:val="ListBullet"/>
      </w:pPr>
      <w:r>
        <w:t>Execution Identifier</w:t>
      </w:r>
    </w:p>
    <w:p>
      <w:pPr>
        <w:pStyle w:val="Heading2"/>
      </w:pPr>
      <w:r>
        <w:t>Response Contract</w:t>
      </w:r>
    </w:p>
    <w:p>
      <w:pPr/>
      <w:r>
        <w:t>Returns</w:t>
      </w:r>
    </w:p>
    <w:p>
      <w:pPr>
        <w:pStyle w:val="ListBullet"/>
      </w:pPr>
      <w:r>
        <w:t>Explanation</w:t>
      </w:r>
    </w:p>
    <w:p>
      <w:pPr>
        <w:pStyle w:val="ListBullet"/>
      </w:pPr>
      <w:r>
        <w:t>Confidence</w:t>
      </w:r>
    </w:p>
    <w:p>
      <w:pPr>
        <w:pStyle w:val="ListBullet"/>
      </w:pPr>
      <w:r>
        <w:t>Evidence</w:t>
      </w:r>
    </w:p>
    <w:p>
      <w:pPr>
        <w:pStyle w:val="ListBullet"/>
      </w:pPr>
      <w:r>
        <w:t>Current Record</w:t>
      </w:r>
    </w:p>
    <w:p>
      <w:pPr>
        <w:pStyle w:val="ListBullet"/>
      </w:pPr>
      <w:r>
        <w:t>Governance Information</w:t>
      </w:r>
    </w:p>
    <w:p>
      <w:pPr/>
      <w:r>
        <w:t>Products SHALL visualize only.</w:t>
      </w:r>
    </w:p>
    <w:p>
      <w:pPr>
        <w:pStyle w:val="Heading2"/>
      </w:pPr>
      <w:r>
        <w:t>Error Categories</w:t>
      </w:r>
    </w:p>
    <w:p>
      <w:pPr>
        <w:pStyle w:val="ListBullet"/>
      </w:pPr>
      <w:r>
        <w:t>Invalid Request</w:t>
      </w:r>
    </w:p>
    <w:p>
      <w:pPr>
        <w:pStyle w:val="ListBullet"/>
      </w:pPr>
      <w:r>
        <w:t>Unsupported Request</w:t>
      </w:r>
    </w:p>
    <w:p>
      <w:pPr>
        <w:pStyle w:val="ListBullet"/>
      </w:pPr>
      <w:r>
        <w:t>Validation Failure</w:t>
      </w:r>
    </w:p>
    <w:p>
      <w:pPr>
        <w:pStyle w:val="ListBullet"/>
      </w:pPr>
      <w:r>
        <w:t>Engine Failure</w:t>
      </w:r>
    </w:p>
    <w:p>
      <w:pPr>
        <w:pStyle w:val="Heading2"/>
      </w:pPr>
      <w:r>
        <w:t>Versioning</w:t>
      </w:r>
    </w:p>
    <w:p>
      <w:pPr/>
      <w:r>
        <w:t>The request SHALL identify the Protocol Version. Versioning SHALL follow the Versioning Model defined by this specification.</w:t>
      </w:r>
    </w:p>
    <w:p>
      <w:pPr>
        <w:pStyle w:val="Heading2"/>
      </w:pPr>
      <w:r>
        <w:t>Idempotency</w:t>
      </w:r>
    </w:p>
    <w:p>
      <w:pPr/>
      <w:r>
        <w:t>Requests SHALL support idempotent replay using Request Identifier.</w:t>
      </w:r>
    </w:p>
    <w:p>
      <w:pPr>
        <w:pStyle w:val="Heading1"/>
      </w:pPr>
      <w:r>
        <w:t>13 PAC-005 History Protocol</w:t>
      </w:r>
    </w:p>
    <w:p>
      <w:pPr>
        <w:pStyle w:val="Heading2"/>
      </w:pPr>
      <w:r>
        <w:t>Purpose</w:t>
      </w:r>
    </w:p>
    <w:p>
      <w:pPr/>
      <w:r>
        <w:t>Retrieve immutable evaluation history.</w:t>
      </w:r>
    </w:p>
    <w:p>
      <w:pPr>
        <w:pStyle w:val="Heading2"/>
      </w:pPr>
      <w:r>
        <w:t>Responsibilities</w:t>
      </w:r>
    </w:p>
    <w:p>
      <w:pPr>
        <w:pStyle w:val="ListBullet"/>
      </w:pPr>
      <w:r>
        <w:t>Retrieve immutable evaluation history</w:t>
      </w:r>
    </w:p>
    <w:p>
      <w:pPr>
        <w:pStyle w:val="ListBullet"/>
      </w:pPr>
      <w:r>
        <w:t>Preserve ordering in accordance with RFC-011</w:t>
      </w:r>
    </w:p>
    <w:p>
      <w:pPr>
        <w:pStyle w:val="ListBullet"/>
      </w:pPr>
      <w:r>
        <w:t>Return history without product-side determination</w:t>
      </w:r>
    </w:p>
    <w:p>
      <w:pPr>
        <w:pStyle w:val="Heading2"/>
      </w:pPr>
      <w:r>
        <w:t>Request Contract</w:t>
      </w:r>
    </w:p>
    <w:p>
      <w:pPr/>
      <w:r>
        <w:t>Contains</w:t>
      </w:r>
    </w:p>
    <w:p>
      <w:pPr>
        <w:pStyle w:val="ListBullet"/>
      </w:pPr>
      <w:r>
        <w:t>Protocol Version</w:t>
      </w:r>
    </w:p>
    <w:p>
      <w:pPr>
        <w:pStyle w:val="ListBullet"/>
      </w:pPr>
      <w:r>
        <w:t>Correlation Identifier</w:t>
      </w:r>
    </w:p>
    <w:p>
      <w:pPr>
        <w:pStyle w:val="ListBullet"/>
      </w:pPr>
      <w:r>
        <w:t>Request Identifier</w:t>
      </w:r>
    </w:p>
    <w:p>
      <w:pPr>
        <w:pStyle w:val="ListBullet"/>
      </w:pPr>
      <w:r>
        <w:t>Session Identifier</w:t>
      </w:r>
    </w:p>
    <w:p>
      <w:pPr>
        <w:pStyle w:val="Heading2"/>
      </w:pPr>
      <w:r>
        <w:t>Response Contract</w:t>
      </w:r>
    </w:p>
    <w:p>
      <w:pPr/>
      <w:r>
        <w:t>Returns immutable evaluation history.</w:t>
      </w:r>
    </w:p>
    <w:p>
      <w:pPr/>
      <w:r>
        <w:t>Ordering SHALL follow RFC-011.</w:t>
      </w:r>
    </w:p>
    <w:p>
      <w:pPr/>
      <w:r>
        <w:t>Products SHALL NOT determine history.</w:t>
      </w:r>
    </w:p>
    <w:p>
      <w:pPr>
        <w:pStyle w:val="Heading2"/>
      </w:pPr>
      <w:r>
        <w:t>Error Categories</w:t>
      </w:r>
    </w:p>
    <w:p>
      <w:pPr>
        <w:pStyle w:val="ListBullet"/>
      </w:pPr>
      <w:r>
        <w:t>Invalid Request</w:t>
      </w:r>
    </w:p>
    <w:p>
      <w:pPr>
        <w:pStyle w:val="ListBullet"/>
      </w:pPr>
      <w:r>
        <w:t>Unsupported Request</w:t>
      </w:r>
    </w:p>
    <w:p>
      <w:pPr>
        <w:pStyle w:val="ListBullet"/>
      </w:pPr>
      <w:r>
        <w:t>Validation Failure</w:t>
      </w:r>
    </w:p>
    <w:p>
      <w:pPr>
        <w:pStyle w:val="ListBullet"/>
      </w:pPr>
      <w:r>
        <w:t>Engine Failure</w:t>
      </w:r>
    </w:p>
    <w:p>
      <w:pPr>
        <w:pStyle w:val="Heading2"/>
      </w:pPr>
      <w:r>
        <w:t>Versioning</w:t>
      </w:r>
    </w:p>
    <w:p>
      <w:pPr/>
      <w:r>
        <w:t>The request SHALL identify the Protocol Version. Versioning SHALL follow the Versioning Model defined by this specification.</w:t>
      </w:r>
    </w:p>
    <w:p>
      <w:pPr>
        <w:pStyle w:val="Heading2"/>
      </w:pPr>
      <w:r>
        <w:t>Idempotency</w:t>
      </w:r>
    </w:p>
    <w:p>
      <w:pPr/>
      <w:r>
        <w:t>Requests SHALL support idempotent replay using Request Identifier.</w:t>
      </w:r>
    </w:p>
    <w:p>
      <w:pPr>
        <w:pStyle w:val="Heading1"/>
      </w:pPr>
      <w:r>
        <w:t>14 PAC-006 Execution Protocol</w:t>
      </w:r>
    </w:p>
    <w:p>
      <w:pPr>
        <w:pStyle w:val="Heading2"/>
      </w:pPr>
      <w:r>
        <w:t>Purpose</w:t>
      </w:r>
    </w:p>
    <w:p>
      <w:pPr/>
      <w:r>
        <w:t>Observe an existing Cognitive Engine execution using its Execution Identifier.</w:t>
      </w:r>
    </w:p>
    <w:p>
      <w:pPr>
        <w:pStyle w:val="Heading2"/>
      </w:pPr>
      <w:r>
        <w:t>Responsibilities</w:t>
      </w:r>
    </w:p>
    <w:p>
      <w:pPr>
        <w:pStyle w:val="ListBullet"/>
      </w:pPr>
      <w:r>
        <w:t>Accept an existing Execution Identifier</w:t>
      </w:r>
    </w:p>
    <w:p>
      <w:pPr>
        <w:pStyle w:val="ListBullet"/>
      </w:pPr>
      <w:r>
        <w:t>Retrieve the current execution state</w:t>
      </w:r>
    </w:p>
    <w:p>
      <w:pPr>
        <w:pStyle w:val="ListBullet"/>
      </w:pPr>
      <w:r>
        <w:t>Return execution observation without defining lifecycle semantics</w:t>
      </w:r>
    </w:p>
    <w:p>
      <w:pPr/>
      <w:r>
        <w:t>Execution lifecycle semantics are defined exclusively by ESM-001 v1.1.</w:t>
      </w:r>
    </w:p>
    <w:p>
      <w:pPr>
        <w:pStyle w:val="Heading2"/>
      </w:pPr>
      <w:r>
        <w:t>Request Contract</w:t>
      </w:r>
    </w:p>
    <w:p>
      <w:pPr/>
      <w:r>
        <w:t>Contains:</w:t>
      </w:r>
    </w:p>
    <w:p>
      <w:pPr>
        <w:pStyle w:val="ListBullet"/>
      </w:pPr>
      <w:r>
        <w:t>Protocol Version</w:t>
      </w:r>
    </w:p>
    <w:p>
      <w:pPr>
        <w:pStyle w:val="ListBullet"/>
      </w:pPr>
      <w:r>
        <w:t>Correlation Identifier</w:t>
      </w:r>
    </w:p>
    <w:p>
      <w:pPr>
        <w:pStyle w:val="ListBullet"/>
      </w:pPr>
      <w:r>
        <w:t>Request Identifier</w:t>
      </w:r>
    </w:p>
    <w:p>
      <w:pPr>
        <w:pStyle w:val="ListBullet"/>
      </w:pPr>
      <w:r>
        <w:t>Session Identifier</w:t>
      </w:r>
    </w:p>
    <w:p>
      <w:pPr>
        <w:pStyle w:val="ListBullet"/>
      </w:pPr>
      <w:r>
        <w:t>Execution Identifier</w:t>
      </w:r>
    </w:p>
    <w:p>
      <w:pPr>
        <w:pStyle w:val="Heading2"/>
      </w:pPr>
      <w:r>
        <w:t>Response Contract</w:t>
      </w:r>
    </w:p>
    <w:p>
      <w:pPr/>
      <w:r>
        <w:t>Returns:</w:t>
      </w:r>
    </w:p>
    <w:p>
      <w:pPr>
        <w:pStyle w:val="ListBullet"/>
      </w:pPr>
      <w:r>
        <w:t>Execution Identifier</w:t>
      </w:r>
    </w:p>
    <w:p>
      <w:pPr>
        <w:pStyle w:val="ListBullet"/>
      </w:pPr>
      <w:r>
        <w:t>Current Execution State</w:t>
      </w:r>
    </w:p>
    <w:p>
      <w:pPr/>
      <w:r>
        <w:t>PAD transports the state value defined by ESM-001 and does not define, infer, or modify execution transitions.</w:t>
      </w:r>
    </w:p>
    <w:p>
      <w:pPr>
        <w:pStyle w:val="Heading2"/>
      </w:pPr>
      <w:r>
        <w:t>Error Categories</w:t>
      </w:r>
    </w:p>
    <w:p>
      <w:pPr>
        <w:pStyle w:val="ListBullet"/>
      </w:pPr>
      <w:r>
        <w:t>Invalid Request</w:t>
      </w:r>
    </w:p>
    <w:p>
      <w:pPr>
        <w:pStyle w:val="ListBullet"/>
      </w:pPr>
      <w:r>
        <w:t>Unknown Execution Identifier</w:t>
      </w:r>
    </w:p>
    <w:p>
      <w:pPr>
        <w:pStyle w:val="ListBullet"/>
      </w:pPr>
      <w:r>
        <w:t>Validation Failure</w:t>
      </w:r>
    </w:p>
    <w:p>
      <w:pPr>
        <w:pStyle w:val="ListBullet"/>
      </w:pPr>
      <w:r>
        <w:t>Engine Unavailable</w:t>
      </w:r>
    </w:p>
    <w:p>
      <w:pPr>
        <w:pStyle w:val="Heading2"/>
      </w:pPr>
      <w:r>
        <w:t>Versioning</w:t>
      </w:r>
    </w:p>
    <w:p>
      <w:pPr/>
      <w:r>
        <w:t>The request SHALL identify the Protocol Version. Versioning SHALL follow the Versioning Model defined by this specification.</w:t>
      </w:r>
    </w:p>
    <w:p>
      <w:pPr>
        <w:pStyle w:val="Heading2"/>
      </w:pPr>
      <w:r>
        <w:t>Idempotency</w:t>
      </w:r>
    </w:p>
    <w:p>
      <w:pPr/>
      <w:r>
        <w:t>Repeated observation using the same Request Identifier SHALL return the observation associated with that request and SHALL NOT create a new execution.</w:t>
      </w:r>
    </w:p>
    <w:p>
      <w:pPr>
        <w:pStyle w:val="Heading1"/>
      </w:pPr>
      <w:r>
        <w:t>15 Correlation Model</w:t>
      </w:r>
    </w:p>
    <w:p>
      <w:pPr/>
      <w:r>
        <w:t>Every protocol request SHALL contain</w:t>
      </w:r>
    </w:p>
    <w:p>
      <w:pPr>
        <w:pStyle w:val="ListBullet"/>
      </w:pPr>
      <w:r>
        <w:t>Protocol Version</w:t>
      </w:r>
    </w:p>
    <w:p>
      <w:pPr>
        <w:pStyle w:val="ListBullet"/>
      </w:pPr>
      <w:r>
        <w:t>Correlation Identifier</w:t>
      </w:r>
    </w:p>
    <w:p>
      <w:pPr>
        <w:pStyle w:val="ListBullet"/>
      </w:pPr>
      <w:r>
        <w:t>Request Identifier</w:t>
      </w:r>
    </w:p>
    <w:p>
      <w:pPr>
        <w:pStyle w:val="ListBullet"/>
      </w:pPr>
      <w:r>
        <w:t>Session Identifier</w:t>
      </w:r>
    </w:p>
    <w:p>
      <w:pPr/>
      <w:r>
        <w:t>Correlation identifiers SHALL remain stable throughout execution.</w:t>
      </w:r>
    </w:p>
    <w:p>
      <w:pPr>
        <w:pStyle w:val="Heading1"/>
      </w:pPr>
      <w:r>
        <w:rPr>
          <w:b w:val="0"/>
        </w:rPr>
        <w:t>16 Execution Observation</w:t>
      </w:r>
    </w:p>
    <w:p>
      <w:pPr/>
      <w:r>
        <w:t>PAD owns execution observation only.</w:t>
      </w:r>
    </w:p>
    <w:p>
      <w:pPr/>
      <w:r>
        <w:t>The Cognitive Engine creates and owns the Execution Identifier. PAD transports that identifier and the current execution state between the Engine Access Facade and Product Layer.</w:t>
      </w:r>
    </w:p>
    <w:p>
      <w:pPr/>
      <w:r>
        <w:t>Execution lifecycle semantics, state definitions, transitions, and terminality are defined exclusively by ESM-001 v1.1.</w:t>
      </w:r>
    </w:p>
    <w:p>
      <w:pPr>
        <w:pStyle w:val="Heading1"/>
      </w:pPr>
      <w:r>
        <w:t>17 Error Model</w:t>
      </w:r>
    </w:p>
    <w:p>
      <w:pPr/>
      <w:r>
        <w:t>The protocol defines only error categories.</w:t>
      </w:r>
    </w:p>
    <w:p>
      <w:pPr>
        <w:pStyle w:val="ListBullet"/>
      </w:pPr>
      <w:r>
        <w:t>Invalid Request</w:t>
      </w:r>
    </w:p>
    <w:p>
      <w:pPr>
        <w:pStyle w:val="ListBullet"/>
      </w:pPr>
      <w:r>
        <w:t>Unsupported Request</w:t>
      </w:r>
    </w:p>
    <w:p>
      <w:pPr>
        <w:pStyle w:val="ListBullet"/>
      </w:pPr>
      <w:r>
        <w:t>Validation Failure</w:t>
      </w:r>
    </w:p>
    <w:p>
      <w:pPr>
        <w:pStyle w:val="ListBullet"/>
      </w:pPr>
      <w:r>
        <w:t>Execution Failure</w:t>
      </w:r>
    </w:p>
    <w:p>
      <w:pPr>
        <w:pStyle w:val="ListBullet"/>
      </w:pPr>
      <w:r>
        <w:t>Engine Failure</w:t>
      </w:r>
    </w:p>
    <w:p>
      <w:pPr/>
      <w:r>
        <w:t>Protocol error categories SHALL remain technology-neutral.</w:t>
      </w:r>
    </w:p>
    <w:p>
      <w:pPr>
        <w:pStyle w:val="Heading1"/>
      </w:pPr>
      <w:r>
        <w:t>18 Versioning Model</w:t>
      </w:r>
    </w:p>
    <w:p>
      <w:pPr/>
      <w:r>
        <w:t>Every protocol interaction SHALL identify</w:t>
      </w:r>
    </w:p>
    <w:p>
      <w:pPr>
        <w:pStyle w:val="ListBullet"/>
      </w:pPr>
      <w:r>
        <w:t>Protocol Version</w:t>
      </w:r>
    </w:p>
    <w:p>
      <w:pPr>
        <w:pStyle w:val="ListBullet"/>
      </w:pPr>
      <w:r>
        <w:t>Engine Version</w:t>
      </w:r>
    </w:p>
    <w:p>
      <w:pPr>
        <w:pStyle w:val="ListBullet"/>
      </w:pPr>
      <w:r>
        <w:t>Capability Versions</w:t>
      </w:r>
    </w:p>
    <w:p>
      <w:pPr/>
      <w:r>
        <w:t>Business capability versions SHALL remain governed by their respective Business Capability Specifications.</w:t>
      </w:r>
    </w:p>
    <w:p>
      <w:pPr>
        <w:pStyle w:val="Heading1"/>
      </w:pPr>
      <w:r>
        <w:t>19 Idempotency Model</w:t>
      </w:r>
    </w:p>
    <w:p>
      <w:pPr/>
      <w:r>
        <w:t>PAD replay uses the same Request Identifier and returns the existing Execution Identifier. Replay performs no new work and creates no new execution.</w:t>
      </w:r>
    </w:p>
    <w:p>
      <w:pPr/>
      <w:r>
        <w:t>External retry is distinct: it creates a new request and a new execution under ESM-001. Internal capability retry is owned by EOM-001 and remains invisible through PAD.</w:t>
      </w:r>
    </w:p>
    <w:p>
      <w:pPr/>
      <w:r>
        <w:t>Implementation remains an engineering concern.</w:t>
      </w:r>
    </w:p>
    <w:p>
      <w:pPr>
        <w:pStyle w:val="Heading1"/>
      </w:pPr>
      <w:r>
        <w:t>20 Security Boundary</w:t>
      </w:r>
    </w:p>
    <w:p>
      <w:pPr/>
      <w:r>
        <w:t>The protocol defines</w:t>
      </w:r>
    </w:p>
    <w:p>
      <w:pPr>
        <w:pStyle w:val="ListBullet"/>
      </w:pPr>
      <w:r>
        <w:t>Authentication Boundary</w:t>
      </w:r>
    </w:p>
    <w:p>
      <w:pPr>
        <w:pStyle w:val="ListBullet"/>
      </w:pPr>
      <w:r>
        <w:t>Authorization Boundary</w:t>
      </w:r>
    </w:p>
    <w:p>
      <w:pPr>
        <w:pStyle w:val="ListBullet"/>
      </w:pPr>
      <w:r>
        <w:t>Trust Boundary</w:t>
      </w:r>
    </w:p>
    <w:p>
      <w:pPr/>
      <w:r>
        <w:t>Security implementation is outside the scope of this specification.</w:t>
      </w:r>
    </w:p>
    <w:p>
      <w:pPr>
        <w:pStyle w:val="Caption"/>
        <w:jc w:val="center"/>
      </w:pPr>
      <w:r>
        <w:t>Table 3 — Security Responsibility Matrix</w:t>
      </w:r>
    </w:p>
    <w:tbl>
      <w:tblPr>
        <w:tblW w:type="dxa" w:w="9000"/>
        <w:jc w:val="center"/>
        <w:tblLayout w:type="fixed"/>
        <w:tblLook w:firstColumn="1" w:firstRow="1" w:lastColumn="0" w:lastRow="0" w:noHBand="0" w:noVBand="1" w:val="04A0"/>
      </w:tblPr>
      <w:tblGrid>
        <w:gridCol w:w="4300"/>
        <w:gridCol w:w="4700"/>
      </w:tblGrid>
      <w:tr>
        <w:trPr>
          <w:tblHeader w:val="true"/>
        </w:trPr>
        <w:tc>
          <w:tcPr>
            <w:tcW w:type="dxa" w:w="4300"/>
            <w:vAlign w:val="center"/>
            <w:tcMar>
              <w:top w:w="100" w:type="dxa"/>
              <w:left w:w="100" w:type="dxa"/>
              <w:bottom w:w="100" w:type="dxa"/>
              <w:right w:w="100" w:type="dxa"/>
            </w:tcMar>
            <w:shd w:fill="376092"/>
          </w:tcPr>
          <w:p>
            <w:pPr>
              <w:spacing w:after="0"/>
            </w:pPr>
            <w:r>
              <w:rPr>
                <w:rFonts w:ascii="Georgia" w:hAnsi="Georgia"/>
                <w:b/>
                <w:color w:val="FFFFFF"/>
                <w:sz w:val="19"/>
              </w:rPr>
              <w:t>Responsibility</w:t>
            </w:r>
          </w:p>
        </w:tc>
        <w:tc>
          <w:tcPr>
            <w:tcW w:type="dxa" w:w="4700"/>
            <w:vAlign w:val="center"/>
            <w:tcMar>
              <w:top w:w="100" w:type="dxa"/>
              <w:left w:w="100" w:type="dxa"/>
              <w:bottom w:w="100" w:type="dxa"/>
              <w:right w:w="100" w:type="dxa"/>
            </w:tcMar>
            <w:shd w:fill="376092"/>
          </w:tcPr>
          <w:p>
            <w:pPr>
              <w:spacing w:after="0"/>
            </w:pPr>
            <w:r>
              <w:rPr>
                <w:rFonts w:ascii="Georgia" w:hAnsi="Georgia"/>
                <w:b/>
                <w:color w:val="FFFFFF"/>
                <w:sz w:val="19"/>
              </w:rPr>
              <w:t>Owner</w:t>
            </w:r>
          </w:p>
        </w:tc>
      </w:tr>
      <w:tr>
        <w:tc>
          <w:tcPr>
            <w:tcW w:type="dxa" w:w="4300"/>
            <w:vAlign w:val="center"/>
            <w:tcMar>
              <w:top w:w="100" w:type="dxa"/>
              <w:left w:w="100" w:type="dxa"/>
              <w:bottom w:w="100" w:type="dxa"/>
              <w:right w:w="100" w:type="dxa"/>
            </w:tcMar>
          </w:tcPr>
          <w:p>
            <w:pPr>
              <w:spacing w:after="0"/>
            </w:pPr>
            <w:r>
              <w:rPr>
                <w:rFonts w:ascii="Georgia" w:hAnsi="Georgia"/>
                <w:sz w:val="19"/>
              </w:rPr>
              <w:t>Authentication</w:t>
            </w:r>
          </w:p>
        </w:tc>
        <w:tc>
          <w:tcPr>
            <w:tcW w:type="dxa" w:w="4700"/>
            <w:vAlign w:val="center"/>
            <w:tcMar>
              <w:top w:w="100" w:type="dxa"/>
              <w:left w:w="100" w:type="dxa"/>
              <w:bottom w:w="100" w:type="dxa"/>
              <w:right w:w="100" w:type="dxa"/>
            </w:tcMar>
          </w:tcPr>
          <w:p>
            <w:pPr>
              <w:spacing w:after="0"/>
            </w:pPr>
            <w:r>
              <w:rPr>
                <w:rFonts w:ascii="Georgia" w:hAnsi="Georgia"/>
                <w:sz w:val="19"/>
              </w:rPr>
              <w:t>Product Layer</w:t>
            </w:r>
          </w:p>
        </w:tc>
      </w:tr>
      <w:tr>
        <w:tc>
          <w:tcPr>
            <w:tcW w:type="dxa" w:w="4300"/>
            <w:vAlign w:val="center"/>
            <w:tcMar>
              <w:top w:w="100" w:type="dxa"/>
              <w:left w:w="100" w:type="dxa"/>
              <w:bottom w:w="100" w:type="dxa"/>
              <w:right w:w="100" w:type="dxa"/>
            </w:tcMar>
          </w:tcPr>
          <w:p>
            <w:pPr>
              <w:spacing w:after="0"/>
            </w:pPr>
            <w:r>
              <w:rPr>
                <w:rFonts w:ascii="Georgia" w:hAnsi="Georgia"/>
                <w:sz w:val="19"/>
              </w:rPr>
              <w:t>Authorization</w:t>
            </w:r>
          </w:p>
        </w:tc>
        <w:tc>
          <w:tcPr>
            <w:tcW w:type="dxa" w:w="4700"/>
            <w:vAlign w:val="center"/>
            <w:tcMar>
              <w:top w:w="100" w:type="dxa"/>
              <w:left w:w="100" w:type="dxa"/>
              <w:bottom w:w="100" w:type="dxa"/>
              <w:right w:w="100" w:type="dxa"/>
            </w:tcMar>
          </w:tcPr>
          <w:p>
            <w:pPr>
              <w:spacing w:after="0"/>
            </w:pPr>
            <w:r>
              <w:rPr>
                <w:rFonts w:ascii="Georgia" w:hAnsi="Georgia"/>
                <w:sz w:val="19"/>
              </w:rPr>
              <w:t>Product Layer</w:t>
            </w:r>
          </w:p>
        </w:tc>
      </w:tr>
      <w:tr>
        <w:tc>
          <w:tcPr>
            <w:tcW w:type="dxa" w:w="4300"/>
            <w:vAlign w:val="center"/>
            <w:tcMar>
              <w:top w:w="100" w:type="dxa"/>
              <w:left w:w="100" w:type="dxa"/>
              <w:bottom w:w="100" w:type="dxa"/>
              <w:right w:w="100" w:type="dxa"/>
            </w:tcMar>
          </w:tcPr>
          <w:p>
            <w:pPr>
              <w:spacing w:after="0"/>
            </w:pPr>
            <w:r>
              <w:rPr>
                <w:rFonts w:ascii="Georgia" w:hAnsi="Georgia"/>
                <w:sz w:val="19"/>
              </w:rPr>
              <w:t>Trust Boundary</w:t>
            </w:r>
          </w:p>
        </w:tc>
        <w:tc>
          <w:tcPr>
            <w:tcW w:type="dxa" w:w="4700"/>
            <w:vAlign w:val="center"/>
            <w:tcMar>
              <w:top w:w="100" w:type="dxa"/>
              <w:left w:w="100" w:type="dxa"/>
              <w:bottom w:w="100" w:type="dxa"/>
              <w:right w:w="100" w:type="dxa"/>
            </w:tcMar>
          </w:tcPr>
          <w:p>
            <w:pPr>
              <w:spacing w:after="0"/>
            </w:pPr>
            <w:r>
              <w:rPr>
                <w:rFonts w:ascii="Georgia" w:hAnsi="Georgia"/>
                <w:sz w:val="19"/>
              </w:rPr>
              <w:t>Product Access Protocol</w:t>
            </w:r>
          </w:p>
        </w:tc>
      </w:tr>
      <w:tr>
        <w:tc>
          <w:tcPr>
            <w:tcW w:type="dxa" w:w="4300"/>
            <w:vAlign w:val="center"/>
            <w:tcMar>
              <w:top w:w="100" w:type="dxa"/>
              <w:left w:w="100" w:type="dxa"/>
              <w:bottom w:w="100" w:type="dxa"/>
              <w:right w:w="100" w:type="dxa"/>
            </w:tcMar>
          </w:tcPr>
          <w:p>
            <w:pPr>
              <w:spacing w:after="0"/>
            </w:pPr>
            <w:r>
              <w:rPr>
                <w:rFonts w:ascii="Georgia" w:hAnsi="Georgia"/>
                <w:sz w:val="19"/>
              </w:rPr>
              <w:t>Enterprise Cognition</w:t>
            </w:r>
          </w:p>
        </w:tc>
        <w:tc>
          <w:tcPr>
            <w:tcW w:type="dxa" w:w="4700"/>
            <w:vAlign w:val="center"/>
            <w:tcMar>
              <w:top w:w="100" w:type="dxa"/>
              <w:left w:w="100" w:type="dxa"/>
              <w:bottom w:w="100" w:type="dxa"/>
              <w:right w:w="100" w:type="dxa"/>
            </w:tcMar>
          </w:tcPr>
          <w:p>
            <w:pPr>
              <w:spacing w:after="0"/>
            </w:pPr>
            <w:r>
              <w:rPr>
                <w:rFonts w:ascii="Georgia" w:hAnsi="Georgia"/>
                <w:sz w:val="19"/>
              </w:rPr>
              <w:t>Cognitive Engine</w:t>
            </w:r>
          </w:p>
        </w:tc>
      </w:tr>
    </w:tbl>
    <w:p>
      <w:pPr>
        <w:pStyle w:val="Heading1"/>
      </w:pPr>
      <w:r>
        <w:t>21 Engine Isolation Rules</w:t>
      </w:r>
    </w:p>
    <w:p>
      <w:pPr/>
      <w:r>
        <w:t>Products SHALL NEVER</w:t>
      </w:r>
    </w:p>
    <w:p>
      <w:pPr>
        <w:pStyle w:val="ListBullet"/>
      </w:pPr>
      <w:r>
        <w:t>invoke ERM directly</w:t>
      </w:r>
    </w:p>
    <w:p>
      <w:pPr>
        <w:pStyle w:val="ListBullet"/>
      </w:pPr>
      <w:r>
        <w:t>invoke SRM directly</w:t>
      </w:r>
    </w:p>
    <w:p>
      <w:pPr>
        <w:pStyle w:val="ListBullet"/>
      </w:pPr>
      <w:r>
        <w:t>invoke ASM directly</w:t>
      </w:r>
    </w:p>
    <w:p>
      <w:pPr>
        <w:pStyle w:val="ListBullet"/>
      </w:pPr>
      <w:r>
        <w:t>invoke KRM directly</w:t>
      </w:r>
    </w:p>
    <w:p>
      <w:pPr>
        <w:pStyle w:val="ListBullet"/>
      </w:pPr>
      <w:r>
        <w:t>invoke DRM directly</w:t>
      </w:r>
    </w:p>
    <w:p>
      <w:pPr>
        <w:pStyle w:val="ListBullet"/>
      </w:pPr>
      <w:r>
        <w:t>invoke GRM directly</w:t>
      </w:r>
    </w:p>
    <w:p>
      <w:pPr>
        <w:pStyle w:val="ListBullet"/>
      </w:pPr>
      <w:r>
        <w:t>access repositories</w:t>
      </w:r>
    </w:p>
    <w:p>
      <w:pPr>
        <w:pStyle w:val="ListBullet"/>
      </w:pPr>
      <w:r>
        <w:t>access persistence</w:t>
      </w:r>
    </w:p>
    <w:p>
      <w:pPr>
        <w:pStyle w:val="ListBullet"/>
      </w:pPr>
      <w:r>
        <w:t>modify business records</w:t>
      </w:r>
    </w:p>
    <w:p>
      <w:pPr>
        <w:pStyle w:val="ListBullet"/>
      </w:pPr>
      <w:r>
        <w:t>modify ontology</w:t>
      </w:r>
    </w:p>
    <w:p>
      <w:pPr>
        <w:pStyle w:val="ListBullet"/>
      </w:pPr>
      <w:r>
        <w:t>create Source Objects</w:t>
      </w:r>
    </w:p>
    <w:p>
      <w:pPr/>
      <w:r>
        <w:t>Products SHALL communicate exclusively through the Product Access Protocol.</w:t>
      </w:r>
    </w:p>
    <w:p>
      <w:pPr>
        <w:pStyle w:val="Heading1"/>
      </w:pPr>
      <w:r>
        <w:t>22 Responsibility Matrix</w:t>
      </w:r>
    </w:p>
    <w:p>
      <w:pPr>
        <w:pStyle w:val="Caption"/>
        <w:jc w:val="center"/>
      </w:pPr>
      <w:r>
        <w:t>Table 4 — Responsibility Matrix</w:t>
      </w:r>
    </w:p>
    <w:tbl>
      <w:tblPr>
        <w:tblW w:type="dxa" w:w="9000"/>
        <w:jc w:val="center"/>
        <w:tblLayout w:type="fixed"/>
        <w:tblLook w:firstColumn="1" w:firstRow="1" w:lastColumn="0" w:lastRow="0" w:noHBand="0" w:noVBand="1" w:val="04A0"/>
      </w:tblPr>
      <w:tblGrid>
        <w:gridCol w:w="3800"/>
        <w:gridCol w:w="1500"/>
        <w:gridCol w:w="2300"/>
        <w:gridCol w:w="1400"/>
      </w:tblGrid>
      <w:tr>
        <w:trPr>
          <w:tblHeader w:val="true"/>
        </w:trPr>
        <w:tc>
          <w:tcPr>
            <w:tcW w:type="dxa" w:w="3800"/>
            <w:vAlign w:val="center"/>
            <w:tcMar>
              <w:top w:w="100" w:type="dxa"/>
              <w:left w:w="100" w:type="dxa"/>
              <w:bottom w:w="100" w:type="dxa"/>
              <w:right w:w="100" w:type="dxa"/>
            </w:tcMar>
            <w:shd w:fill="376092"/>
          </w:tcPr>
          <w:p>
            <w:pPr>
              <w:spacing w:after="0"/>
            </w:pPr>
            <w:r>
              <w:rPr>
                <w:rFonts w:ascii="Georgia" w:hAnsi="Georgia"/>
                <w:b/>
                <w:color w:val="FFFFFF"/>
                <w:sz w:val="19"/>
              </w:rPr>
              <w:t>Responsibility</w:t>
            </w:r>
          </w:p>
        </w:tc>
        <w:tc>
          <w:tcPr>
            <w:tcW w:type="dxa" w:w="1500"/>
            <w:vAlign w:val="center"/>
            <w:tcMar>
              <w:top w:w="100" w:type="dxa"/>
              <w:left w:w="100" w:type="dxa"/>
              <w:bottom w:w="100" w:type="dxa"/>
              <w:right w:w="100" w:type="dxa"/>
            </w:tcMar>
            <w:shd w:fill="376092"/>
          </w:tcPr>
          <w:p>
            <w:pPr>
              <w:spacing w:after="0"/>
            </w:pPr>
            <w:r>
              <w:rPr>
                <w:rFonts w:ascii="Georgia" w:hAnsi="Georgia"/>
                <w:b/>
                <w:color w:val="FFFFFF"/>
                <w:sz w:val="19"/>
              </w:rPr>
              <w:t>Product Layer</w:t>
            </w:r>
          </w:p>
        </w:tc>
        <w:tc>
          <w:tcPr>
            <w:tcW w:type="dxa" w:w="2300"/>
            <w:vAlign w:val="center"/>
            <w:tcMar>
              <w:top w:w="100" w:type="dxa"/>
              <w:left w:w="100" w:type="dxa"/>
              <w:bottom w:w="100" w:type="dxa"/>
              <w:right w:w="100" w:type="dxa"/>
            </w:tcMar>
            <w:shd w:fill="376092"/>
          </w:tcPr>
          <w:p>
            <w:pPr>
              <w:spacing w:after="0"/>
            </w:pPr>
            <w:r>
              <w:rPr>
                <w:rFonts w:ascii="Georgia" w:hAnsi="Georgia"/>
                <w:b/>
                <w:color w:val="FFFFFF"/>
                <w:sz w:val="19"/>
              </w:rPr>
              <w:t>Engine Access Facade</w:t>
            </w:r>
          </w:p>
        </w:tc>
        <w:tc>
          <w:tcPr>
            <w:tcW w:type="dxa" w:w="1400"/>
            <w:vAlign w:val="center"/>
            <w:tcMar>
              <w:top w:w="100" w:type="dxa"/>
              <w:left w:w="100" w:type="dxa"/>
              <w:bottom w:w="100" w:type="dxa"/>
              <w:right w:w="100" w:type="dxa"/>
            </w:tcMar>
            <w:shd w:fill="376092"/>
          </w:tcPr>
          <w:p>
            <w:pPr>
              <w:spacing w:after="0"/>
            </w:pPr>
            <w:r>
              <w:rPr>
                <w:rFonts w:ascii="Georgia" w:hAnsi="Georgia"/>
                <w:b/>
                <w:color w:val="FFFFFF"/>
                <w:sz w:val="19"/>
              </w:rPr>
              <w:t>Cognitive Engine</w:t>
            </w:r>
          </w:p>
        </w:tc>
      </w:tr>
      <w:tr>
        <w:tc>
          <w:tcPr>
            <w:tcW w:type="dxa" w:w="3800"/>
            <w:vAlign w:val="center"/>
            <w:tcMar>
              <w:top w:w="100" w:type="dxa"/>
              <w:left w:w="100" w:type="dxa"/>
              <w:bottom w:w="100" w:type="dxa"/>
              <w:right w:w="100" w:type="dxa"/>
            </w:tcMar>
          </w:tcPr>
          <w:p>
            <w:pPr>
              <w:spacing w:after="0"/>
            </w:pPr>
            <w:r>
              <w:rPr>
                <w:rFonts w:ascii="Georgia" w:hAnsi="Georgia"/>
                <w:sz w:val="19"/>
              </w:rPr>
              <w:t>Upload UI</w:t>
            </w:r>
          </w:p>
        </w:tc>
        <w:tc>
          <w:tcPr>
            <w:tcW w:type="dxa" w:w="1500"/>
            <w:vAlign w:val="center"/>
            <w:tcMar>
              <w:top w:w="100" w:type="dxa"/>
              <w:left w:w="100" w:type="dxa"/>
              <w:bottom w:w="100" w:type="dxa"/>
              <w:right w:w="100" w:type="dxa"/>
            </w:tcMar>
          </w:tcPr>
          <w:p>
            <w:pPr>
              <w:spacing w:after="0"/>
              <w:jc w:val="center"/>
            </w:pPr>
            <w:r>
              <w:rPr>
                <w:rFonts w:ascii="Georgia" w:hAnsi="Georgia"/>
                <w:sz w:val="19"/>
              </w:rPr>
              <w:t>✓</w:t>
            </w:r>
          </w:p>
        </w:tc>
        <w:tc>
          <w:tcPr>
            <w:tcW w:type="dxa" w:w="2300"/>
            <w:vAlign w:val="center"/>
            <w:tcMar>
              <w:top w:w="100" w:type="dxa"/>
              <w:left w:w="100" w:type="dxa"/>
              <w:bottom w:w="100" w:type="dxa"/>
              <w:right w:w="100" w:type="dxa"/>
            </w:tcMar>
          </w:tcPr>
          <w:p>
            <w:pPr>
              <w:spacing w:after="0"/>
              <w:jc w:val="center"/>
            </w:pPr>
            <w:r>
              <w:rPr>
                <w:rFonts w:ascii="Georgia" w:hAnsi="Georgia"/>
                <w:sz w:val="19"/>
              </w:rPr>
            </w:r>
          </w:p>
        </w:tc>
        <w:tc>
          <w:tcPr>
            <w:tcW w:type="dxa" w:w="1400"/>
            <w:vAlign w:val="center"/>
            <w:tcMar>
              <w:top w:w="100" w:type="dxa"/>
              <w:left w:w="100" w:type="dxa"/>
              <w:bottom w:w="100" w:type="dxa"/>
              <w:right w:w="100" w:type="dxa"/>
            </w:tcMar>
          </w:tcPr>
          <w:p>
            <w:pPr>
              <w:spacing w:after="0"/>
              <w:jc w:val="center"/>
            </w:pPr>
            <w:r>
              <w:rPr>
                <w:rFonts w:ascii="Georgia" w:hAnsi="Georgia"/>
                <w:sz w:val="19"/>
              </w:rPr>
            </w:r>
          </w:p>
        </w:tc>
      </w:tr>
      <w:tr>
        <w:tc>
          <w:tcPr>
            <w:tcW w:type="dxa" w:w="3800"/>
            <w:vAlign w:val="center"/>
            <w:tcMar>
              <w:top w:w="100" w:type="dxa"/>
              <w:left w:w="100" w:type="dxa"/>
              <w:bottom w:w="100" w:type="dxa"/>
              <w:right w:w="100" w:type="dxa"/>
            </w:tcMar>
          </w:tcPr>
          <w:p>
            <w:pPr>
              <w:spacing w:after="0"/>
            </w:pPr>
            <w:r>
              <w:rPr>
                <w:rFonts w:ascii="Georgia" w:hAnsi="Georgia"/>
                <w:sz w:val="19"/>
              </w:rPr>
              <w:t>Request Validation</w:t>
            </w:r>
          </w:p>
        </w:tc>
        <w:tc>
          <w:tcPr>
            <w:tcW w:type="dxa" w:w="1500"/>
            <w:vAlign w:val="center"/>
            <w:tcMar>
              <w:top w:w="100" w:type="dxa"/>
              <w:left w:w="100" w:type="dxa"/>
              <w:bottom w:w="100" w:type="dxa"/>
              <w:right w:w="100" w:type="dxa"/>
            </w:tcMar>
          </w:tcPr>
          <w:p>
            <w:pPr>
              <w:spacing w:after="0"/>
              <w:jc w:val="center"/>
            </w:pPr>
            <w:r>
              <w:rPr>
                <w:rFonts w:ascii="Georgia" w:hAnsi="Georgia"/>
                <w:sz w:val="19"/>
              </w:rPr>
            </w:r>
          </w:p>
        </w:tc>
        <w:tc>
          <w:tcPr>
            <w:tcW w:type="dxa" w:w="2300"/>
            <w:vAlign w:val="center"/>
            <w:tcMar>
              <w:top w:w="100" w:type="dxa"/>
              <w:left w:w="100" w:type="dxa"/>
              <w:bottom w:w="100" w:type="dxa"/>
              <w:right w:w="100" w:type="dxa"/>
            </w:tcMar>
          </w:tcPr>
          <w:p>
            <w:pPr>
              <w:spacing w:after="0"/>
              <w:jc w:val="center"/>
            </w:pPr>
            <w:r>
              <w:rPr>
                <w:rFonts w:ascii="Georgia" w:hAnsi="Georgia"/>
                <w:sz w:val="19"/>
              </w:rPr>
              <w:t>✓</w:t>
            </w:r>
          </w:p>
        </w:tc>
        <w:tc>
          <w:tcPr>
            <w:tcW w:type="dxa" w:w="1400"/>
            <w:vAlign w:val="center"/>
            <w:tcMar>
              <w:top w:w="100" w:type="dxa"/>
              <w:left w:w="100" w:type="dxa"/>
              <w:bottom w:w="100" w:type="dxa"/>
              <w:right w:w="100" w:type="dxa"/>
            </w:tcMar>
          </w:tcPr>
          <w:p>
            <w:pPr>
              <w:spacing w:after="0"/>
              <w:jc w:val="center"/>
            </w:pPr>
            <w:r>
              <w:rPr>
                <w:rFonts w:ascii="Georgia" w:hAnsi="Georgia"/>
                <w:sz w:val="19"/>
              </w:rPr>
            </w:r>
          </w:p>
        </w:tc>
      </w:tr>
      <w:tr>
        <w:tc>
          <w:tcPr>
            <w:tcW w:type="dxa" w:w="3800"/>
            <w:vAlign w:val="center"/>
            <w:tcMar>
              <w:top w:w="100" w:type="dxa"/>
              <w:left w:w="100" w:type="dxa"/>
              <w:bottom w:w="100" w:type="dxa"/>
              <w:right w:w="100" w:type="dxa"/>
            </w:tcMar>
          </w:tcPr>
          <w:p>
            <w:pPr>
              <w:spacing w:after="0"/>
            </w:pPr>
            <w:r>
              <w:rPr>
                <w:rFonts w:ascii="Georgia" w:hAnsi="Georgia"/>
                <w:sz w:val="19"/>
              </w:rPr>
              <w:t>Protocol Validation</w:t>
            </w:r>
          </w:p>
        </w:tc>
        <w:tc>
          <w:tcPr>
            <w:tcW w:type="dxa" w:w="1500"/>
            <w:vAlign w:val="center"/>
            <w:tcMar>
              <w:top w:w="100" w:type="dxa"/>
              <w:left w:w="100" w:type="dxa"/>
              <w:bottom w:w="100" w:type="dxa"/>
              <w:right w:w="100" w:type="dxa"/>
            </w:tcMar>
          </w:tcPr>
          <w:p>
            <w:pPr>
              <w:spacing w:after="0"/>
              <w:jc w:val="center"/>
            </w:pPr>
            <w:r>
              <w:rPr>
                <w:rFonts w:ascii="Georgia" w:hAnsi="Georgia"/>
                <w:sz w:val="19"/>
              </w:rPr>
            </w:r>
          </w:p>
        </w:tc>
        <w:tc>
          <w:tcPr>
            <w:tcW w:type="dxa" w:w="2300"/>
            <w:vAlign w:val="center"/>
            <w:tcMar>
              <w:top w:w="100" w:type="dxa"/>
              <w:left w:w="100" w:type="dxa"/>
              <w:bottom w:w="100" w:type="dxa"/>
              <w:right w:w="100" w:type="dxa"/>
            </w:tcMar>
          </w:tcPr>
          <w:p>
            <w:pPr>
              <w:spacing w:after="0"/>
              <w:jc w:val="center"/>
            </w:pPr>
            <w:r>
              <w:rPr>
                <w:rFonts w:ascii="Georgia" w:hAnsi="Georgia"/>
                <w:sz w:val="19"/>
              </w:rPr>
              <w:t>✓</w:t>
            </w:r>
          </w:p>
        </w:tc>
        <w:tc>
          <w:tcPr>
            <w:tcW w:type="dxa" w:w="1400"/>
            <w:vAlign w:val="center"/>
            <w:tcMar>
              <w:top w:w="100" w:type="dxa"/>
              <w:left w:w="100" w:type="dxa"/>
              <w:bottom w:w="100" w:type="dxa"/>
              <w:right w:w="100" w:type="dxa"/>
            </w:tcMar>
          </w:tcPr>
          <w:p>
            <w:pPr>
              <w:spacing w:after="0"/>
              <w:jc w:val="center"/>
            </w:pPr>
            <w:r>
              <w:rPr>
                <w:rFonts w:ascii="Georgia" w:hAnsi="Georgia"/>
                <w:sz w:val="19"/>
              </w:rPr>
            </w:r>
          </w:p>
        </w:tc>
      </w:tr>
      <w:tr>
        <w:tc>
          <w:tcPr>
            <w:tcW w:type="dxa" w:w="3800"/>
            <w:vAlign w:val="center"/>
            <w:tcMar>
              <w:top w:w="100" w:type="dxa"/>
              <w:left w:w="100" w:type="dxa"/>
              <w:bottom w:w="100" w:type="dxa"/>
              <w:right w:w="100" w:type="dxa"/>
            </w:tcMar>
          </w:tcPr>
          <w:p>
            <w:pPr>
              <w:spacing w:after="0"/>
            </w:pPr>
            <w:r>
              <w:rPr>
                <w:rFonts w:ascii="Georgia" w:hAnsi="Georgia"/>
                <w:sz w:val="19"/>
              </w:rPr>
              <w:t>Engine Invocation</w:t>
            </w:r>
          </w:p>
        </w:tc>
        <w:tc>
          <w:tcPr>
            <w:tcW w:type="dxa" w:w="1500"/>
            <w:vAlign w:val="center"/>
            <w:tcMar>
              <w:top w:w="100" w:type="dxa"/>
              <w:left w:w="100" w:type="dxa"/>
              <w:bottom w:w="100" w:type="dxa"/>
              <w:right w:w="100" w:type="dxa"/>
            </w:tcMar>
          </w:tcPr>
          <w:p>
            <w:pPr>
              <w:spacing w:after="0"/>
              <w:jc w:val="center"/>
            </w:pPr>
            <w:r>
              <w:rPr>
                <w:rFonts w:ascii="Georgia" w:hAnsi="Georgia"/>
                <w:sz w:val="19"/>
              </w:rPr>
            </w:r>
          </w:p>
        </w:tc>
        <w:tc>
          <w:tcPr>
            <w:tcW w:type="dxa" w:w="2300"/>
            <w:vAlign w:val="center"/>
            <w:tcMar>
              <w:top w:w="100" w:type="dxa"/>
              <w:left w:w="100" w:type="dxa"/>
              <w:bottom w:w="100" w:type="dxa"/>
              <w:right w:w="100" w:type="dxa"/>
            </w:tcMar>
          </w:tcPr>
          <w:p>
            <w:pPr>
              <w:spacing w:after="0"/>
              <w:jc w:val="center"/>
            </w:pPr>
            <w:r>
              <w:rPr>
                <w:rFonts w:ascii="Georgia" w:hAnsi="Georgia"/>
                <w:sz w:val="19"/>
              </w:rPr>
              <w:t>✓</w:t>
            </w:r>
          </w:p>
        </w:tc>
        <w:tc>
          <w:tcPr>
            <w:tcW w:type="dxa" w:w="1400"/>
            <w:vAlign w:val="center"/>
            <w:tcMar>
              <w:top w:w="100" w:type="dxa"/>
              <w:left w:w="100" w:type="dxa"/>
              <w:bottom w:w="100" w:type="dxa"/>
              <w:right w:w="100" w:type="dxa"/>
            </w:tcMar>
          </w:tcPr>
          <w:p>
            <w:pPr>
              <w:spacing w:after="0"/>
              <w:jc w:val="center"/>
            </w:pPr>
            <w:r>
              <w:rPr>
                <w:rFonts w:ascii="Georgia" w:hAnsi="Georgia"/>
                <w:sz w:val="19"/>
              </w:rPr>
            </w:r>
          </w:p>
        </w:tc>
      </w:tr>
      <w:tr>
        <w:tc>
          <w:tcPr>
            <w:tcW w:type="dxa" w:w="3800"/>
            <w:vAlign w:val="center"/>
            <w:tcMar>
              <w:top w:w="100" w:type="dxa"/>
              <w:left w:w="100" w:type="dxa"/>
              <w:bottom w:w="100" w:type="dxa"/>
              <w:right w:w="100" w:type="dxa"/>
            </w:tcMar>
          </w:tcPr>
          <w:p>
            <w:pPr>
              <w:spacing w:after="0"/>
            </w:pPr>
            <w:r>
              <w:rPr>
                <w:rFonts w:ascii="Georgia" w:hAnsi="Georgia"/>
                <w:sz w:val="19"/>
              </w:rPr>
              <w:t>Source Object Creation</w:t>
            </w:r>
          </w:p>
        </w:tc>
        <w:tc>
          <w:tcPr>
            <w:tcW w:type="dxa" w:w="1500"/>
            <w:vAlign w:val="center"/>
            <w:tcMar>
              <w:top w:w="100" w:type="dxa"/>
              <w:left w:w="100" w:type="dxa"/>
              <w:bottom w:w="100" w:type="dxa"/>
              <w:right w:w="100" w:type="dxa"/>
            </w:tcMar>
          </w:tcPr>
          <w:p>
            <w:pPr>
              <w:spacing w:after="0"/>
              <w:jc w:val="center"/>
            </w:pPr>
            <w:r>
              <w:rPr>
                <w:rFonts w:ascii="Georgia" w:hAnsi="Georgia"/>
                <w:sz w:val="19"/>
              </w:rPr>
            </w:r>
          </w:p>
        </w:tc>
        <w:tc>
          <w:tcPr>
            <w:tcW w:type="dxa" w:w="2300"/>
            <w:vAlign w:val="center"/>
            <w:tcMar>
              <w:top w:w="100" w:type="dxa"/>
              <w:left w:w="100" w:type="dxa"/>
              <w:bottom w:w="100" w:type="dxa"/>
              <w:right w:w="100" w:type="dxa"/>
            </w:tcMar>
          </w:tcPr>
          <w:p>
            <w:pPr>
              <w:spacing w:after="0"/>
              <w:jc w:val="center"/>
            </w:pPr>
            <w:r>
              <w:rPr>
                <w:rFonts w:ascii="Georgia" w:hAnsi="Georgia"/>
                <w:sz w:val="19"/>
              </w:rPr>
            </w:r>
          </w:p>
        </w:tc>
        <w:tc>
          <w:tcPr>
            <w:tcW w:type="dxa" w:w="1400"/>
            <w:vAlign w:val="center"/>
            <w:tcMar>
              <w:top w:w="100" w:type="dxa"/>
              <w:left w:w="100" w:type="dxa"/>
              <w:bottom w:w="100" w:type="dxa"/>
              <w:right w:w="100" w:type="dxa"/>
            </w:tcMar>
          </w:tcPr>
          <w:p>
            <w:pPr>
              <w:spacing w:after="0"/>
              <w:jc w:val="center"/>
            </w:pPr>
            <w:r>
              <w:rPr>
                <w:rFonts w:ascii="Georgia" w:hAnsi="Georgia"/>
                <w:sz w:val="19"/>
              </w:rPr>
              <w:t>✓</w:t>
            </w:r>
          </w:p>
        </w:tc>
      </w:tr>
      <w:tr>
        <w:tc>
          <w:tcPr>
            <w:tcW w:type="dxa" w:w="3800"/>
            <w:vAlign w:val="center"/>
            <w:tcMar>
              <w:top w:w="100" w:type="dxa"/>
              <w:left w:w="100" w:type="dxa"/>
              <w:bottom w:w="100" w:type="dxa"/>
              <w:right w:w="100" w:type="dxa"/>
            </w:tcMar>
          </w:tcPr>
          <w:p>
            <w:pPr>
              <w:spacing w:after="0"/>
            </w:pPr>
            <w:r>
              <w:rPr>
                <w:rFonts w:ascii="Georgia" w:hAnsi="Georgia"/>
                <w:sz w:val="19"/>
              </w:rPr>
              <w:t>Entity Resolution</w:t>
            </w:r>
          </w:p>
        </w:tc>
        <w:tc>
          <w:tcPr>
            <w:tcW w:type="dxa" w:w="1500"/>
            <w:vAlign w:val="center"/>
            <w:tcMar>
              <w:top w:w="100" w:type="dxa"/>
              <w:left w:w="100" w:type="dxa"/>
              <w:bottom w:w="100" w:type="dxa"/>
              <w:right w:w="100" w:type="dxa"/>
            </w:tcMar>
          </w:tcPr>
          <w:p>
            <w:pPr>
              <w:spacing w:after="0"/>
              <w:jc w:val="center"/>
            </w:pPr>
            <w:r>
              <w:rPr>
                <w:rFonts w:ascii="Georgia" w:hAnsi="Georgia"/>
                <w:sz w:val="19"/>
              </w:rPr>
            </w:r>
          </w:p>
        </w:tc>
        <w:tc>
          <w:tcPr>
            <w:tcW w:type="dxa" w:w="2300"/>
            <w:vAlign w:val="center"/>
            <w:tcMar>
              <w:top w:w="100" w:type="dxa"/>
              <w:left w:w="100" w:type="dxa"/>
              <w:bottom w:w="100" w:type="dxa"/>
              <w:right w:w="100" w:type="dxa"/>
            </w:tcMar>
          </w:tcPr>
          <w:p>
            <w:pPr>
              <w:spacing w:after="0"/>
              <w:jc w:val="center"/>
            </w:pPr>
            <w:r>
              <w:rPr>
                <w:rFonts w:ascii="Georgia" w:hAnsi="Georgia"/>
                <w:sz w:val="19"/>
              </w:rPr>
            </w:r>
          </w:p>
        </w:tc>
        <w:tc>
          <w:tcPr>
            <w:tcW w:type="dxa" w:w="1400"/>
            <w:vAlign w:val="center"/>
            <w:tcMar>
              <w:top w:w="100" w:type="dxa"/>
              <w:left w:w="100" w:type="dxa"/>
              <w:bottom w:w="100" w:type="dxa"/>
              <w:right w:w="100" w:type="dxa"/>
            </w:tcMar>
          </w:tcPr>
          <w:p>
            <w:pPr>
              <w:spacing w:after="0"/>
              <w:jc w:val="center"/>
            </w:pPr>
            <w:r>
              <w:rPr>
                <w:rFonts w:ascii="Georgia" w:hAnsi="Georgia"/>
                <w:sz w:val="19"/>
              </w:rPr>
              <w:t>✓</w:t>
            </w:r>
          </w:p>
        </w:tc>
      </w:tr>
      <w:tr>
        <w:tc>
          <w:tcPr>
            <w:tcW w:type="dxa" w:w="3800"/>
            <w:vAlign w:val="center"/>
            <w:tcMar>
              <w:top w:w="100" w:type="dxa"/>
              <w:left w:w="100" w:type="dxa"/>
              <w:bottom w:w="100" w:type="dxa"/>
              <w:right w:w="100" w:type="dxa"/>
            </w:tcMar>
          </w:tcPr>
          <w:p>
            <w:pPr>
              <w:spacing w:after="0"/>
            </w:pPr>
            <w:r>
              <w:rPr>
                <w:rFonts w:ascii="Georgia" w:hAnsi="Georgia"/>
                <w:sz w:val="19"/>
              </w:rPr>
              <w:t>Semantic Resolution</w:t>
            </w:r>
          </w:p>
        </w:tc>
        <w:tc>
          <w:tcPr>
            <w:tcW w:type="dxa" w:w="1500"/>
            <w:vAlign w:val="center"/>
            <w:tcMar>
              <w:top w:w="100" w:type="dxa"/>
              <w:left w:w="100" w:type="dxa"/>
              <w:bottom w:w="100" w:type="dxa"/>
              <w:right w:w="100" w:type="dxa"/>
            </w:tcMar>
          </w:tcPr>
          <w:p>
            <w:pPr>
              <w:spacing w:after="0"/>
              <w:jc w:val="center"/>
            </w:pPr>
            <w:r>
              <w:rPr>
                <w:rFonts w:ascii="Georgia" w:hAnsi="Georgia"/>
                <w:sz w:val="19"/>
              </w:rPr>
            </w:r>
          </w:p>
        </w:tc>
        <w:tc>
          <w:tcPr>
            <w:tcW w:type="dxa" w:w="2300"/>
            <w:vAlign w:val="center"/>
            <w:tcMar>
              <w:top w:w="100" w:type="dxa"/>
              <w:left w:w="100" w:type="dxa"/>
              <w:bottom w:w="100" w:type="dxa"/>
              <w:right w:w="100" w:type="dxa"/>
            </w:tcMar>
          </w:tcPr>
          <w:p>
            <w:pPr>
              <w:spacing w:after="0"/>
              <w:jc w:val="center"/>
            </w:pPr>
            <w:r>
              <w:rPr>
                <w:rFonts w:ascii="Georgia" w:hAnsi="Georgia"/>
                <w:sz w:val="19"/>
              </w:rPr>
            </w:r>
          </w:p>
        </w:tc>
        <w:tc>
          <w:tcPr>
            <w:tcW w:type="dxa" w:w="1400"/>
            <w:vAlign w:val="center"/>
            <w:tcMar>
              <w:top w:w="100" w:type="dxa"/>
              <w:left w:w="100" w:type="dxa"/>
              <w:bottom w:w="100" w:type="dxa"/>
              <w:right w:w="100" w:type="dxa"/>
            </w:tcMar>
          </w:tcPr>
          <w:p>
            <w:pPr>
              <w:spacing w:after="0"/>
              <w:jc w:val="center"/>
            </w:pPr>
            <w:r>
              <w:rPr>
                <w:rFonts w:ascii="Georgia" w:hAnsi="Georgia"/>
                <w:sz w:val="19"/>
              </w:rPr>
              <w:t>✓</w:t>
            </w:r>
          </w:p>
        </w:tc>
      </w:tr>
      <w:tr>
        <w:tc>
          <w:tcPr>
            <w:tcW w:type="dxa" w:w="3800"/>
            <w:vAlign w:val="center"/>
            <w:tcMar>
              <w:top w:w="100" w:type="dxa"/>
              <w:left w:w="100" w:type="dxa"/>
              <w:bottom w:w="100" w:type="dxa"/>
              <w:right w:w="100" w:type="dxa"/>
            </w:tcMar>
          </w:tcPr>
          <w:p>
            <w:pPr>
              <w:spacing w:after="0"/>
            </w:pPr>
            <w:r>
              <w:rPr>
                <w:rFonts w:ascii="Georgia" w:hAnsi="Georgia"/>
                <w:sz w:val="19"/>
              </w:rPr>
              <w:t>Assertion</w:t>
            </w:r>
          </w:p>
        </w:tc>
        <w:tc>
          <w:tcPr>
            <w:tcW w:type="dxa" w:w="1500"/>
            <w:vAlign w:val="center"/>
            <w:tcMar>
              <w:top w:w="100" w:type="dxa"/>
              <w:left w:w="100" w:type="dxa"/>
              <w:bottom w:w="100" w:type="dxa"/>
              <w:right w:w="100" w:type="dxa"/>
            </w:tcMar>
          </w:tcPr>
          <w:p>
            <w:pPr>
              <w:spacing w:after="0"/>
              <w:jc w:val="center"/>
            </w:pPr>
            <w:r>
              <w:rPr>
                <w:rFonts w:ascii="Georgia" w:hAnsi="Georgia"/>
                <w:sz w:val="19"/>
              </w:rPr>
            </w:r>
          </w:p>
        </w:tc>
        <w:tc>
          <w:tcPr>
            <w:tcW w:type="dxa" w:w="2300"/>
            <w:vAlign w:val="center"/>
            <w:tcMar>
              <w:top w:w="100" w:type="dxa"/>
              <w:left w:w="100" w:type="dxa"/>
              <w:bottom w:w="100" w:type="dxa"/>
              <w:right w:w="100" w:type="dxa"/>
            </w:tcMar>
          </w:tcPr>
          <w:p>
            <w:pPr>
              <w:spacing w:after="0"/>
              <w:jc w:val="center"/>
            </w:pPr>
            <w:r>
              <w:rPr>
                <w:rFonts w:ascii="Georgia" w:hAnsi="Georgia"/>
                <w:sz w:val="19"/>
              </w:rPr>
            </w:r>
          </w:p>
        </w:tc>
        <w:tc>
          <w:tcPr>
            <w:tcW w:type="dxa" w:w="1400"/>
            <w:vAlign w:val="center"/>
            <w:tcMar>
              <w:top w:w="100" w:type="dxa"/>
              <w:left w:w="100" w:type="dxa"/>
              <w:bottom w:w="100" w:type="dxa"/>
              <w:right w:w="100" w:type="dxa"/>
            </w:tcMar>
          </w:tcPr>
          <w:p>
            <w:pPr>
              <w:spacing w:after="0"/>
              <w:jc w:val="center"/>
            </w:pPr>
            <w:r>
              <w:rPr>
                <w:rFonts w:ascii="Georgia" w:hAnsi="Georgia"/>
                <w:sz w:val="19"/>
              </w:rPr>
              <w:t>✓</w:t>
            </w:r>
          </w:p>
        </w:tc>
      </w:tr>
      <w:tr>
        <w:tc>
          <w:tcPr>
            <w:tcW w:type="dxa" w:w="3800"/>
            <w:vAlign w:val="center"/>
            <w:tcMar>
              <w:top w:w="100" w:type="dxa"/>
              <w:left w:w="100" w:type="dxa"/>
              <w:bottom w:w="100" w:type="dxa"/>
              <w:right w:w="100" w:type="dxa"/>
            </w:tcMar>
          </w:tcPr>
          <w:p>
            <w:pPr>
              <w:spacing w:after="0"/>
            </w:pPr>
            <w:r>
              <w:rPr>
                <w:rFonts w:ascii="Georgia" w:hAnsi="Georgia"/>
                <w:sz w:val="19"/>
              </w:rPr>
              <w:t>Knowledge</w:t>
            </w:r>
          </w:p>
        </w:tc>
        <w:tc>
          <w:tcPr>
            <w:tcW w:type="dxa" w:w="1500"/>
            <w:vAlign w:val="center"/>
            <w:tcMar>
              <w:top w:w="100" w:type="dxa"/>
              <w:left w:w="100" w:type="dxa"/>
              <w:bottom w:w="100" w:type="dxa"/>
              <w:right w:w="100" w:type="dxa"/>
            </w:tcMar>
          </w:tcPr>
          <w:p>
            <w:pPr>
              <w:spacing w:after="0"/>
              <w:jc w:val="center"/>
            </w:pPr>
            <w:r>
              <w:rPr>
                <w:rFonts w:ascii="Georgia" w:hAnsi="Georgia"/>
                <w:sz w:val="19"/>
              </w:rPr>
            </w:r>
          </w:p>
        </w:tc>
        <w:tc>
          <w:tcPr>
            <w:tcW w:type="dxa" w:w="2300"/>
            <w:vAlign w:val="center"/>
            <w:tcMar>
              <w:top w:w="100" w:type="dxa"/>
              <w:left w:w="100" w:type="dxa"/>
              <w:bottom w:w="100" w:type="dxa"/>
              <w:right w:w="100" w:type="dxa"/>
            </w:tcMar>
          </w:tcPr>
          <w:p>
            <w:pPr>
              <w:spacing w:after="0"/>
              <w:jc w:val="center"/>
            </w:pPr>
            <w:r>
              <w:rPr>
                <w:rFonts w:ascii="Georgia" w:hAnsi="Georgia"/>
                <w:sz w:val="19"/>
              </w:rPr>
            </w:r>
          </w:p>
        </w:tc>
        <w:tc>
          <w:tcPr>
            <w:tcW w:type="dxa" w:w="1400"/>
            <w:vAlign w:val="center"/>
            <w:tcMar>
              <w:top w:w="100" w:type="dxa"/>
              <w:left w:w="100" w:type="dxa"/>
              <w:bottom w:w="100" w:type="dxa"/>
              <w:right w:w="100" w:type="dxa"/>
            </w:tcMar>
          </w:tcPr>
          <w:p>
            <w:pPr>
              <w:spacing w:after="0"/>
              <w:jc w:val="center"/>
            </w:pPr>
            <w:r>
              <w:rPr>
                <w:rFonts w:ascii="Georgia" w:hAnsi="Georgia"/>
                <w:sz w:val="19"/>
              </w:rPr>
              <w:t>✓</w:t>
            </w:r>
          </w:p>
        </w:tc>
      </w:tr>
      <w:tr>
        <w:tc>
          <w:tcPr>
            <w:tcW w:type="dxa" w:w="3800"/>
            <w:vAlign w:val="center"/>
            <w:tcMar>
              <w:top w:w="100" w:type="dxa"/>
              <w:left w:w="100" w:type="dxa"/>
              <w:bottom w:w="100" w:type="dxa"/>
              <w:right w:w="100" w:type="dxa"/>
            </w:tcMar>
          </w:tcPr>
          <w:p>
            <w:pPr>
              <w:spacing w:after="0"/>
            </w:pPr>
            <w:r>
              <w:rPr>
                <w:rFonts w:ascii="Georgia" w:hAnsi="Georgia"/>
                <w:sz w:val="19"/>
              </w:rPr>
              <w:t>Decision</w:t>
            </w:r>
          </w:p>
        </w:tc>
        <w:tc>
          <w:tcPr>
            <w:tcW w:type="dxa" w:w="1500"/>
            <w:vAlign w:val="center"/>
            <w:tcMar>
              <w:top w:w="100" w:type="dxa"/>
              <w:left w:w="100" w:type="dxa"/>
              <w:bottom w:w="100" w:type="dxa"/>
              <w:right w:w="100" w:type="dxa"/>
            </w:tcMar>
          </w:tcPr>
          <w:p>
            <w:pPr>
              <w:spacing w:after="0"/>
              <w:jc w:val="center"/>
            </w:pPr>
            <w:r>
              <w:rPr>
                <w:rFonts w:ascii="Georgia" w:hAnsi="Georgia"/>
                <w:sz w:val="19"/>
              </w:rPr>
            </w:r>
          </w:p>
        </w:tc>
        <w:tc>
          <w:tcPr>
            <w:tcW w:type="dxa" w:w="2300"/>
            <w:vAlign w:val="center"/>
            <w:tcMar>
              <w:top w:w="100" w:type="dxa"/>
              <w:left w:w="100" w:type="dxa"/>
              <w:bottom w:w="100" w:type="dxa"/>
              <w:right w:w="100" w:type="dxa"/>
            </w:tcMar>
          </w:tcPr>
          <w:p>
            <w:pPr>
              <w:spacing w:after="0"/>
              <w:jc w:val="center"/>
            </w:pPr>
            <w:r>
              <w:rPr>
                <w:rFonts w:ascii="Georgia" w:hAnsi="Georgia"/>
                <w:sz w:val="19"/>
              </w:rPr>
            </w:r>
          </w:p>
        </w:tc>
        <w:tc>
          <w:tcPr>
            <w:tcW w:type="dxa" w:w="1400"/>
            <w:vAlign w:val="center"/>
            <w:tcMar>
              <w:top w:w="100" w:type="dxa"/>
              <w:left w:w="100" w:type="dxa"/>
              <w:bottom w:w="100" w:type="dxa"/>
              <w:right w:w="100" w:type="dxa"/>
            </w:tcMar>
          </w:tcPr>
          <w:p>
            <w:pPr>
              <w:spacing w:after="0"/>
              <w:jc w:val="center"/>
            </w:pPr>
            <w:r>
              <w:rPr>
                <w:rFonts w:ascii="Georgia" w:hAnsi="Georgia"/>
                <w:sz w:val="19"/>
              </w:rPr>
              <w:t>✓</w:t>
            </w:r>
          </w:p>
        </w:tc>
      </w:tr>
      <w:tr>
        <w:tc>
          <w:tcPr>
            <w:tcW w:type="dxa" w:w="3800"/>
            <w:vAlign w:val="center"/>
            <w:tcMar>
              <w:top w:w="100" w:type="dxa"/>
              <w:left w:w="100" w:type="dxa"/>
              <w:bottom w:w="100" w:type="dxa"/>
              <w:right w:w="100" w:type="dxa"/>
            </w:tcMar>
          </w:tcPr>
          <w:p>
            <w:pPr>
              <w:spacing w:after="0"/>
            </w:pPr>
            <w:r>
              <w:rPr>
                <w:rFonts w:ascii="Georgia" w:hAnsi="Georgia"/>
                <w:sz w:val="19"/>
              </w:rPr>
              <w:t>Governance</w:t>
            </w:r>
          </w:p>
        </w:tc>
        <w:tc>
          <w:tcPr>
            <w:tcW w:type="dxa" w:w="1500"/>
            <w:vAlign w:val="center"/>
            <w:tcMar>
              <w:top w:w="100" w:type="dxa"/>
              <w:left w:w="100" w:type="dxa"/>
              <w:bottom w:w="100" w:type="dxa"/>
              <w:right w:w="100" w:type="dxa"/>
            </w:tcMar>
          </w:tcPr>
          <w:p>
            <w:pPr>
              <w:spacing w:after="0"/>
              <w:jc w:val="center"/>
            </w:pPr>
            <w:r>
              <w:rPr>
                <w:rFonts w:ascii="Georgia" w:hAnsi="Georgia"/>
                <w:sz w:val="19"/>
              </w:rPr>
            </w:r>
          </w:p>
        </w:tc>
        <w:tc>
          <w:tcPr>
            <w:tcW w:type="dxa" w:w="2300"/>
            <w:vAlign w:val="center"/>
            <w:tcMar>
              <w:top w:w="100" w:type="dxa"/>
              <w:left w:w="100" w:type="dxa"/>
              <w:bottom w:w="100" w:type="dxa"/>
              <w:right w:w="100" w:type="dxa"/>
            </w:tcMar>
          </w:tcPr>
          <w:p>
            <w:pPr>
              <w:spacing w:after="0"/>
              <w:jc w:val="center"/>
            </w:pPr>
            <w:r>
              <w:rPr>
                <w:rFonts w:ascii="Georgia" w:hAnsi="Georgia"/>
                <w:sz w:val="19"/>
              </w:rPr>
            </w:r>
          </w:p>
        </w:tc>
        <w:tc>
          <w:tcPr>
            <w:tcW w:type="dxa" w:w="1400"/>
            <w:vAlign w:val="center"/>
            <w:tcMar>
              <w:top w:w="100" w:type="dxa"/>
              <w:left w:w="100" w:type="dxa"/>
              <w:bottom w:w="100" w:type="dxa"/>
              <w:right w:w="100" w:type="dxa"/>
            </w:tcMar>
          </w:tcPr>
          <w:p>
            <w:pPr>
              <w:spacing w:after="0"/>
              <w:jc w:val="center"/>
            </w:pPr>
            <w:r>
              <w:rPr>
                <w:rFonts w:ascii="Georgia" w:hAnsi="Georgia"/>
                <w:sz w:val="19"/>
              </w:rPr>
              <w:t>✓</w:t>
            </w:r>
          </w:p>
        </w:tc>
      </w:tr>
      <w:tr>
        <w:tc>
          <w:tcPr>
            <w:tcW w:type="dxa" w:w="3800"/>
            <w:vAlign w:val="center"/>
            <w:tcMar>
              <w:top w:w="100" w:type="dxa"/>
              <w:left w:w="100" w:type="dxa"/>
              <w:bottom w:w="100" w:type="dxa"/>
              <w:right w:w="100" w:type="dxa"/>
            </w:tcMar>
          </w:tcPr>
          <w:p>
            <w:pPr>
              <w:spacing w:after="0"/>
            </w:pPr>
            <w:r>
              <w:rPr>
                <w:rFonts w:ascii="Georgia" w:hAnsi="Georgia"/>
                <w:sz w:val="19"/>
              </w:rPr>
              <w:t>Ontology Projection</w:t>
            </w:r>
          </w:p>
        </w:tc>
        <w:tc>
          <w:tcPr>
            <w:tcW w:type="dxa" w:w="1500"/>
            <w:vAlign w:val="center"/>
            <w:tcMar>
              <w:top w:w="100" w:type="dxa"/>
              <w:left w:w="100" w:type="dxa"/>
              <w:bottom w:w="100" w:type="dxa"/>
              <w:right w:w="100" w:type="dxa"/>
            </w:tcMar>
          </w:tcPr>
          <w:p>
            <w:pPr>
              <w:spacing w:after="0"/>
              <w:jc w:val="center"/>
            </w:pPr>
            <w:r>
              <w:rPr>
                <w:rFonts w:ascii="Georgia" w:hAnsi="Georgia"/>
                <w:sz w:val="19"/>
              </w:rPr>
            </w:r>
          </w:p>
        </w:tc>
        <w:tc>
          <w:tcPr>
            <w:tcW w:type="dxa" w:w="2300"/>
            <w:vAlign w:val="center"/>
            <w:tcMar>
              <w:top w:w="100" w:type="dxa"/>
              <w:left w:w="100" w:type="dxa"/>
              <w:bottom w:w="100" w:type="dxa"/>
              <w:right w:w="100" w:type="dxa"/>
            </w:tcMar>
          </w:tcPr>
          <w:p>
            <w:pPr>
              <w:spacing w:after="0"/>
              <w:jc w:val="center"/>
            </w:pPr>
            <w:r>
              <w:rPr>
                <w:rFonts w:ascii="Georgia" w:hAnsi="Georgia"/>
                <w:sz w:val="19"/>
              </w:rPr>
            </w:r>
          </w:p>
        </w:tc>
        <w:tc>
          <w:tcPr>
            <w:tcW w:type="dxa" w:w="1400"/>
            <w:vAlign w:val="center"/>
            <w:tcMar>
              <w:top w:w="100" w:type="dxa"/>
              <w:left w:w="100" w:type="dxa"/>
              <w:bottom w:w="100" w:type="dxa"/>
              <w:right w:w="100" w:type="dxa"/>
            </w:tcMar>
          </w:tcPr>
          <w:p>
            <w:pPr>
              <w:spacing w:after="0"/>
              <w:jc w:val="center"/>
            </w:pPr>
            <w:r>
              <w:rPr>
                <w:rFonts w:ascii="Georgia" w:hAnsi="Georgia"/>
                <w:sz w:val="19"/>
              </w:rPr>
              <w:t>✓</w:t>
            </w:r>
          </w:p>
        </w:tc>
      </w:tr>
      <w:tr>
        <w:tc>
          <w:tcPr>
            <w:tcW w:type="dxa" w:w="3800"/>
            <w:vAlign w:val="center"/>
            <w:tcMar>
              <w:top w:w="100" w:type="dxa"/>
              <w:left w:w="100" w:type="dxa"/>
              <w:bottom w:w="100" w:type="dxa"/>
              <w:right w:w="100" w:type="dxa"/>
            </w:tcMar>
          </w:tcPr>
          <w:p>
            <w:pPr>
              <w:spacing w:after="0"/>
            </w:pPr>
            <w:r>
              <w:rPr>
                <w:rFonts w:ascii="Georgia" w:hAnsi="Georgia"/>
                <w:sz w:val="19"/>
              </w:rPr>
              <w:t>Visualization</w:t>
            </w:r>
          </w:p>
        </w:tc>
        <w:tc>
          <w:tcPr>
            <w:tcW w:type="dxa" w:w="1500"/>
            <w:vAlign w:val="center"/>
            <w:tcMar>
              <w:top w:w="100" w:type="dxa"/>
              <w:left w:w="100" w:type="dxa"/>
              <w:bottom w:w="100" w:type="dxa"/>
              <w:right w:w="100" w:type="dxa"/>
            </w:tcMar>
          </w:tcPr>
          <w:p>
            <w:pPr>
              <w:spacing w:after="0"/>
              <w:jc w:val="center"/>
            </w:pPr>
            <w:r>
              <w:rPr>
                <w:rFonts w:ascii="Georgia" w:hAnsi="Georgia"/>
                <w:sz w:val="19"/>
              </w:rPr>
              <w:t>✓</w:t>
            </w:r>
          </w:p>
        </w:tc>
        <w:tc>
          <w:tcPr>
            <w:tcW w:type="dxa" w:w="2300"/>
            <w:vAlign w:val="center"/>
            <w:tcMar>
              <w:top w:w="100" w:type="dxa"/>
              <w:left w:w="100" w:type="dxa"/>
              <w:bottom w:w="100" w:type="dxa"/>
              <w:right w:w="100" w:type="dxa"/>
            </w:tcMar>
          </w:tcPr>
          <w:p>
            <w:pPr>
              <w:spacing w:after="0"/>
              <w:jc w:val="center"/>
            </w:pPr>
            <w:r>
              <w:rPr>
                <w:rFonts w:ascii="Georgia" w:hAnsi="Georgia"/>
                <w:sz w:val="19"/>
              </w:rPr>
            </w:r>
          </w:p>
        </w:tc>
        <w:tc>
          <w:tcPr>
            <w:tcW w:type="dxa" w:w="1400"/>
            <w:vAlign w:val="center"/>
            <w:tcMar>
              <w:top w:w="100" w:type="dxa"/>
              <w:left w:w="100" w:type="dxa"/>
              <w:bottom w:w="100" w:type="dxa"/>
              <w:right w:w="100" w:type="dxa"/>
            </w:tcMar>
          </w:tcPr>
          <w:p>
            <w:pPr>
              <w:spacing w:after="0"/>
              <w:jc w:val="center"/>
            </w:pPr>
            <w:r>
              <w:rPr>
                <w:rFonts w:ascii="Georgia" w:hAnsi="Georgia"/>
                <w:sz w:val="19"/>
              </w:rPr>
            </w:r>
          </w:p>
        </w:tc>
      </w:tr>
      <w:tr>
        <w:tc>
          <w:tcPr>
            <w:tcW w:type="dxa" w:w="3800"/>
            <w:vAlign w:val="center"/>
            <w:tcMar>
              <w:top w:w="100" w:type="dxa"/>
              <w:left w:w="100" w:type="dxa"/>
              <w:bottom w:w="100" w:type="dxa"/>
              <w:right w:w="100" w:type="dxa"/>
            </w:tcMar>
          </w:tcPr>
          <w:p>
            <w:pPr>
              <w:spacing w:after="0"/>
            </w:pPr>
            <w:r>
              <w:rPr>
                <w:rFonts w:ascii="Georgia" w:hAnsi="Georgia"/>
                <w:sz w:val="19"/>
              </w:rPr>
              <w:t>Explainability Display</w:t>
            </w:r>
          </w:p>
        </w:tc>
        <w:tc>
          <w:tcPr>
            <w:tcW w:type="dxa" w:w="1500"/>
            <w:vAlign w:val="center"/>
            <w:tcMar>
              <w:top w:w="100" w:type="dxa"/>
              <w:left w:w="100" w:type="dxa"/>
              <w:bottom w:w="100" w:type="dxa"/>
              <w:right w:w="100" w:type="dxa"/>
            </w:tcMar>
          </w:tcPr>
          <w:p>
            <w:pPr>
              <w:spacing w:after="0"/>
              <w:jc w:val="center"/>
            </w:pPr>
            <w:r>
              <w:rPr>
                <w:rFonts w:ascii="Georgia" w:hAnsi="Georgia"/>
                <w:sz w:val="19"/>
              </w:rPr>
              <w:t>✓</w:t>
            </w:r>
          </w:p>
        </w:tc>
        <w:tc>
          <w:tcPr>
            <w:tcW w:type="dxa" w:w="2300"/>
            <w:vAlign w:val="center"/>
            <w:tcMar>
              <w:top w:w="100" w:type="dxa"/>
              <w:left w:w="100" w:type="dxa"/>
              <w:bottom w:w="100" w:type="dxa"/>
              <w:right w:w="100" w:type="dxa"/>
            </w:tcMar>
          </w:tcPr>
          <w:p>
            <w:pPr>
              <w:spacing w:after="0"/>
              <w:jc w:val="center"/>
            </w:pPr>
            <w:r>
              <w:rPr>
                <w:rFonts w:ascii="Georgia" w:hAnsi="Georgia"/>
                <w:sz w:val="19"/>
              </w:rPr>
            </w:r>
          </w:p>
        </w:tc>
        <w:tc>
          <w:tcPr>
            <w:tcW w:type="dxa" w:w="1400"/>
            <w:vAlign w:val="center"/>
            <w:tcMar>
              <w:top w:w="100" w:type="dxa"/>
              <w:left w:w="100" w:type="dxa"/>
              <w:bottom w:w="100" w:type="dxa"/>
              <w:right w:w="100" w:type="dxa"/>
            </w:tcMar>
          </w:tcPr>
          <w:p>
            <w:pPr>
              <w:spacing w:after="0"/>
              <w:jc w:val="center"/>
            </w:pPr>
            <w:r>
              <w:rPr>
                <w:rFonts w:ascii="Georgia" w:hAnsi="Georgia"/>
                <w:sz w:val="19"/>
              </w:rPr>
            </w:r>
          </w:p>
        </w:tc>
      </w:tr>
      <w:tr>
        <w:tc>
          <w:tcPr>
            <w:tcW w:type="dxa" w:w="3800"/>
          </w:tcPr>
          <w:p>
            <w:r>
              <w:t>Execution Observation</w:t>
            </w:r>
          </w:p>
        </w:tc>
        <w:tc>
          <w:tcPr>
            <w:tcW w:type="dxa" w:w="1500"/>
          </w:tcPr>
          <w:p>
            <w:r>
              <w:t>✓</w:t>
            </w:r>
          </w:p>
        </w:tc>
        <w:tc>
          <w:tcPr>
            <w:tcW w:type="dxa" w:w="2300"/>
          </w:tcPr>
          <w:p>
            <w:r>
              <w:t>✓</w:t>
            </w:r>
          </w:p>
        </w:tc>
        <w:tc>
          <w:tcPr>
            <w:tcW w:type="dxa" w:w="1400"/>
          </w:tcPr>
          <w:p>
            <w:r/>
          </w:p>
        </w:tc>
      </w:tr>
    </w:tbl>
    <w:p>
      <w:pPr>
        <w:pStyle w:val="Heading1"/>
      </w:pPr>
      <w:r>
        <w:t>23 Traceability</w:t>
      </w:r>
    </w:p>
    <w:p>
      <w:pPr/>
      <w:r>
        <w:t>This specification traces to</w:t>
      </w:r>
    </w:p>
    <w:p>
      <w:pPr>
        <w:pStyle w:val="Caption"/>
        <w:jc w:val="center"/>
      </w:pPr>
      <w:r>
        <w:t>Table 5 — Traceability Matrix</w:t>
      </w:r>
    </w:p>
    <w:tbl>
      <w:tblPr>
        <w:tblW w:type="dxa" w:w="9000"/>
        <w:jc w:val="center"/>
        <w:tblLayout w:type="fixed"/>
        <w:tblLook w:firstColumn="1" w:firstRow="1" w:lastColumn="0" w:lastRow="0" w:noHBand="0" w:noVBand="1" w:val="04A0"/>
      </w:tblPr>
      <w:tblGrid>
        <w:gridCol w:w="3300"/>
        <w:gridCol w:w="5700"/>
      </w:tblGrid>
      <w:tr>
        <w:trPr>
          <w:tblHeader w:val="true"/>
        </w:trPr>
        <w:tc>
          <w:tcPr>
            <w:tcW w:type="dxa" w:w="3300"/>
            <w:vAlign w:val="center"/>
            <w:tcMar>
              <w:top w:w="100" w:type="dxa"/>
              <w:left w:w="100" w:type="dxa"/>
              <w:bottom w:w="100" w:type="dxa"/>
              <w:right w:w="100" w:type="dxa"/>
            </w:tcMar>
            <w:shd w:fill="376092"/>
          </w:tcPr>
          <w:p>
            <w:pPr>
              <w:spacing w:after="0"/>
            </w:pPr>
            <w:r>
              <w:rPr>
                <w:rFonts w:ascii="Georgia" w:hAnsi="Georgia"/>
                <w:b/>
                <w:color w:val="FFFFFF"/>
                <w:sz w:val="19"/>
              </w:rPr>
              <w:t>Reference</w:t>
            </w:r>
          </w:p>
        </w:tc>
        <w:tc>
          <w:tcPr>
            <w:tcW w:type="dxa" w:w="5700"/>
            <w:vAlign w:val="center"/>
            <w:tcMar>
              <w:top w:w="100" w:type="dxa"/>
              <w:left w:w="100" w:type="dxa"/>
              <w:bottom w:w="100" w:type="dxa"/>
              <w:right w:w="100" w:type="dxa"/>
            </w:tcMar>
            <w:shd w:fill="376092"/>
          </w:tcPr>
          <w:p>
            <w:pPr>
              <w:spacing w:after="0"/>
            </w:pPr>
            <w:r>
              <w:rPr>
                <w:rFonts w:ascii="Georgia" w:hAnsi="Georgia"/>
                <w:b/>
                <w:color w:val="FFFFFF"/>
                <w:sz w:val="19"/>
              </w:rPr>
              <w:t>Traceability</w:t>
            </w:r>
          </w:p>
        </w:tc>
      </w:tr>
      <w:tr>
        <w:tc>
          <w:tcPr>
            <w:tcW w:type="dxa" w:w="3300"/>
            <w:vAlign w:val="center"/>
            <w:tcMar>
              <w:top w:w="100" w:type="dxa"/>
              <w:left w:w="100" w:type="dxa"/>
              <w:bottom w:w="100" w:type="dxa"/>
              <w:right w:w="100" w:type="dxa"/>
            </w:tcMar>
          </w:tcPr>
          <w:p>
            <w:pPr>
              <w:spacing w:after="0"/>
            </w:pPr>
            <w:r>
              <w:rPr>
                <w:rFonts w:ascii="Georgia" w:hAnsi="Georgia"/>
                <w:sz w:val="19"/>
              </w:rPr>
              <w:t>EAH-001</w:t>
            </w:r>
          </w:p>
        </w:tc>
        <w:tc>
          <w:tcPr>
            <w:tcW w:type="dxa" w:w="5700"/>
            <w:vAlign w:val="center"/>
            <w:tcMar>
              <w:top w:w="100" w:type="dxa"/>
              <w:left w:w="100" w:type="dxa"/>
              <w:bottom w:w="100" w:type="dxa"/>
              <w:right w:w="100" w:type="dxa"/>
            </w:tcMar>
          </w:tcPr>
          <w:p>
            <w:pPr>
              <w:spacing w:after="0"/>
            </w:pPr>
            <w:r>
              <w:rPr>
                <w:rFonts w:ascii="Georgia" w:hAnsi="Georgia"/>
                <w:sz w:val="19"/>
              </w:rPr>
              <w:t>This specification traces to</w:t>
            </w:r>
          </w:p>
        </w:tc>
      </w:tr>
      <w:tr>
        <w:tc>
          <w:tcPr>
            <w:tcW w:type="dxa" w:w="3300"/>
            <w:vAlign w:val="center"/>
            <w:tcMar>
              <w:top w:w="100" w:type="dxa"/>
              <w:left w:w="100" w:type="dxa"/>
              <w:bottom w:w="100" w:type="dxa"/>
              <w:right w:w="100" w:type="dxa"/>
            </w:tcMar>
          </w:tcPr>
          <w:p>
            <w:pPr>
              <w:spacing w:after="0"/>
            </w:pPr>
            <w:r>
              <w:rPr>
                <w:rFonts w:ascii="Georgia" w:hAnsi="Georgia"/>
                <w:sz w:val="19"/>
              </w:rPr>
              <w:t>RFC-010</w:t>
            </w:r>
          </w:p>
        </w:tc>
        <w:tc>
          <w:tcPr>
            <w:tcW w:type="dxa" w:w="5700"/>
            <w:vAlign w:val="center"/>
            <w:tcMar>
              <w:top w:w="100" w:type="dxa"/>
              <w:left w:w="100" w:type="dxa"/>
              <w:bottom w:w="100" w:type="dxa"/>
              <w:right w:w="100" w:type="dxa"/>
            </w:tcMar>
          </w:tcPr>
          <w:p>
            <w:pPr>
              <w:spacing w:after="0"/>
            </w:pPr>
            <w:r>
              <w:rPr>
                <w:rFonts w:ascii="Georgia" w:hAnsi="Georgia"/>
                <w:sz w:val="19"/>
              </w:rPr>
              <w:t>This specification traces to</w:t>
            </w:r>
          </w:p>
        </w:tc>
      </w:tr>
      <w:tr>
        <w:tc>
          <w:tcPr>
            <w:tcW w:type="dxa" w:w="3300"/>
            <w:vAlign w:val="center"/>
            <w:tcMar>
              <w:top w:w="100" w:type="dxa"/>
              <w:left w:w="100" w:type="dxa"/>
              <w:bottom w:w="100" w:type="dxa"/>
              <w:right w:w="100" w:type="dxa"/>
            </w:tcMar>
          </w:tcPr>
          <w:p>
            <w:pPr>
              <w:spacing w:after="0"/>
            </w:pPr>
            <w:r>
              <w:rPr>
                <w:rFonts w:ascii="Georgia" w:hAnsi="Georgia"/>
                <w:sz w:val="19"/>
              </w:rPr>
              <w:t>RFC-011</w:t>
            </w:r>
          </w:p>
        </w:tc>
        <w:tc>
          <w:tcPr>
            <w:tcW w:type="dxa" w:w="5700"/>
            <w:vAlign w:val="center"/>
            <w:tcMar>
              <w:top w:w="100" w:type="dxa"/>
              <w:left w:w="100" w:type="dxa"/>
              <w:bottom w:w="100" w:type="dxa"/>
              <w:right w:w="100" w:type="dxa"/>
            </w:tcMar>
          </w:tcPr>
          <w:p>
            <w:pPr>
              <w:spacing w:after="0"/>
            </w:pPr>
            <w:r>
              <w:rPr>
                <w:rFonts w:ascii="Georgia" w:hAnsi="Georgia"/>
                <w:sz w:val="19"/>
              </w:rPr>
              <w:t>This specification traces to</w:t>
            </w:r>
          </w:p>
        </w:tc>
      </w:tr>
      <w:tr>
        <w:tc>
          <w:tcPr>
            <w:tcW w:type="dxa" w:w="3300"/>
            <w:vAlign w:val="center"/>
            <w:tcMar>
              <w:top w:w="100" w:type="dxa"/>
              <w:left w:w="100" w:type="dxa"/>
              <w:bottom w:w="100" w:type="dxa"/>
              <w:right w:w="100" w:type="dxa"/>
            </w:tcMar>
          </w:tcPr>
          <w:p>
            <w:pPr>
              <w:spacing w:after="0"/>
            </w:pPr>
            <w:r>
              <w:rPr>
                <w:rFonts w:ascii="Georgia" w:hAnsi="Georgia"/>
                <w:sz w:val="19"/>
              </w:rPr>
              <w:t>CDD-003 Revision 2</w:t>
            </w:r>
          </w:p>
        </w:tc>
        <w:tc>
          <w:tcPr>
            <w:tcW w:type="dxa" w:w="5700"/>
            <w:vAlign w:val="center"/>
            <w:tcMar>
              <w:top w:w="100" w:type="dxa"/>
              <w:left w:w="100" w:type="dxa"/>
              <w:bottom w:w="100" w:type="dxa"/>
              <w:right w:w="100" w:type="dxa"/>
            </w:tcMar>
          </w:tcPr>
          <w:p>
            <w:pPr>
              <w:spacing w:after="0"/>
            </w:pPr>
            <w:r>
              <w:rPr>
                <w:rFonts w:ascii="Georgia" w:hAnsi="Georgia"/>
                <w:sz w:val="19"/>
              </w:rPr>
              <w:t>This specification traces to</w:t>
            </w:r>
          </w:p>
        </w:tc>
      </w:tr>
      <w:tr>
        <w:tc>
          <w:tcPr>
            <w:tcW w:type="dxa" w:w="3300"/>
            <w:vAlign w:val="center"/>
            <w:tcMar>
              <w:top w:w="100" w:type="dxa"/>
              <w:left w:w="100" w:type="dxa"/>
              <w:bottom w:w="100" w:type="dxa"/>
              <w:right w:w="100" w:type="dxa"/>
            </w:tcMar>
          </w:tcPr>
          <w:p>
            <w:pPr>
              <w:spacing w:after="0"/>
            </w:pPr>
            <w:r>
              <w:rPr>
                <w:rFonts w:ascii="Georgia" w:hAnsi="Georgia"/>
                <w:sz w:val="19"/>
              </w:rPr>
              <w:t>EAD-001</w:t>
            </w:r>
          </w:p>
        </w:tc>
        <w:tc>
          <w:tcPr>
            <w:tcW w:type="dxa" w:w="5700"/>
            <w:vAlign w:val="center"/>
            <w:tcMar>
              <w:top w:w="100" w:type="dxa"/>
              <w:left w:w="100" w:type="dxa"/>
              <w:bottom w:w="100" w:type="dxa"/>
              <w:right w:w="100" w:type="dxa"/>
            </w:tcMar>
          </w:tcPr>
          <w:p>
            <w:pPr>
              <w:spacing w:after="0"/>
            </w:pPr>
            <w:r>
              <w:rPr>
                <w:rFonts w:ascii="Georgia" w:hAnsi="Georgia"/>
                <w:sz w:val="19"/>
              </w:rPr>
              <w:t>This specification traces to</w:t>
            </w:r>
          </w:p>
        </w:tc>
      </w:tr>
      <w:tr>
        <w:tc>
          <w:tcPr>
            <w:tcW w:type="dxa" w:w="3300"/>
            <w:vAlign w:val="center"/>
            <w:tcMar>
              <w:top w:w="100" w:type="dxa"/>
              <w:left w:w="100" w:type="dxa"/>
              <w:bottom w:w="100" w:type="dxa"/>
              <w:right w:w="100" w:type="dxa"/>
            </w:tcMar>
          </w:tcPr>
          <w:p>
            <w:pPr>
              <w:spacing w:after="0"/>
            </w:pPr>
            <w:r>
              <w:rPr>
                <w:rFonts w:ascii="Georgia" w:hAnsi="Georgia"/>
                <w:sz w:val="19"/>
              </w:rPr>
              <w:t>ERM-001 v2.1</w:t>
            </w:r>
          </w:p>
        </w:tc>
        <w:tc>
          <w:tcPr>
            <w:tcW w:type="dxa" w:w="5700"/>
            <w:vAlign w:val="center"/>
            <w:tcMar>
              <w:top w:w="100" w:type="dxa"/>
              <w:left w:w="100" w:type="dxa"/>
              <w:bottom w:w="100" w:type="dxa"/>
              <w:right w:w="100" w:type="dxa"/>
            </w:tcMar>
          </w:tcPr>
          <w:p>
            <w:pPr>
              <w:spacing w:after="0"/>
            </w:pPr>
            <w:r>
              <w:rPr>
                <w:rFonts w:ascii="Georgia" w:hAnsi="Georgia"/>
                <w:sz w:val="19"/>
              </w:rPr>
              <w:t>This specification traces to</w:t>
            </w:r>
          </w:p>
        </w:tc>
      </w:tr>
      <w:tr>
        <w:tc>
          <w:tcPr>
            <w:tcW w:type="dxa" w:w="3300"/>
            <w:vAlign w:val="center"/>
            <w:tcMar>
              <w:top w:w="100" w:type="dxa"/>
              <w:left w:w="100" w:type="dxa"/>
              <w:bottom w:w="100" w:type="dxa"/>
              <w:right w:w="100" w:type="dxa"/>
            </w:tcMar>
          </w:tcPr>
          <w:p>
            <w:pPr>
              <w:spacing w:after="0"/>
            </w:pPr>
            <w:r>
              <w:rPr>
                <w:rFonts w:ascii="Georgia" w:hAnsi="Georgia"/>
                <w:sz w:val="19"/>
              </w:rPr>
              <w:t>SRM-001 v2.1</w:t>
            </w:r>
          </w:p>
        </w:tc>
        <w:tc>
          <w:tcPr>
            <w:tcW w:type="dxa" w:w="5700"/>
            <w:vAlign w:val="center"/>
            <w:tcMar>
              <w:top w:w="100" w:type="dxa"/>
              <w:left w:w="100" w:type="dxa"/>
              <w:bottom w:w="100" w:type="dxa"/>
              <w:right w:w="100" w:type="dxa"/>
            </w:tcMar>
          </w:tcPr>
          <w:p>
            <w:pPr>
              <w:spacing w:after="0"/>
            </w:pPr>
            <w:r>
              <w:rPr>
                <w:rFonts w:ascii="Georgia" w:hAnsi="Georgia"/>
                <w:sz w:val="19"/>
              </w:rPr>
              <w:t>This specification traces to</w:t>
            </w:r>
          </w:p>
        </w:tc>
      </w:tr>
      <w:tr>
        <w:tc>
          <w:tcPr>
            <w:tcW w:type="dxa" w:w="3300"/>
            <w:vAlign w:val="center"/>
            <w:tcMar>
              <w:top w:w="100" w:type="dxa"/>
              <w:left w:w="100" w:type="dxa"/>
              <w:bottom w:w="100" w:type="dxa"/>
              <w:right w:w="100" w:type="dxa"/>
            </w:tcMar>
          </w:tcPr>
          <w:p>
            <w:pPr>
              <w:spacing w:after="0"/>
            </w:pPr>
            <w:r>
              <w:rPr>
                <w:rFonts w:ascii="Georgia" w:hAnsi="Georgia"/>
                <w:sz w:val="19"/>
              </w:rPr>
              <w:t>ASM-001 v2.0</w:t>
            </w:r>
          </w:p>
        </w:tc>
        <w:tc>
          <w:tcPr>
            <w:tcW w:type="dxa" w:w="5700"/>
            <w:vAlign w:val="center"/>
            <w:tcMar>
              <w:top w:w="100" w:type="dxa"/>
              <w:left w:w="100" w:type="dxa"/>
              <w:bottom w:w="100" w:type="dxa"/>
              <w:right w:w="100" w:type="dxa"/>
            </w:tcMar>
          </w:tcPr>
          <w:p>
            <w:pPr>
              <w:spacing w:after="0"/>
            </w:pPr>
            <w:r>
              <w:rPr>
                <w:rFonts w:ascii="Georgia" w:hAnsi="Georgia"/>
                <w:sz w:val="19"/>
              </w:rPr>
              <w:t>This specification traces to</w:t>
            </w:r>
          </w:p>
        </w:tc>
      </w:tr>
      <w:tr>
        <w:tc>
          <w:tcPr>
            <w:tcW w:type="dxa" w:w="3300"/>
            <w:vAlign w:val="center"/>
            <w:tcMar>
              <w:top w:w="100" w:type="dxa"/>
              <w:left w:w="100" w:type="dxa"/>
              <w:bottom w:w="100" w:type="dxa"/>
              <w:right w:w="100" w:type="dxa"/>
            </w:tcMar>
          </w:tcPr>
          <w:p>
            <w:pPr>
              <w:spacing w:after="0"/>
            </w:pPr>
            <w:r>
              <w:rPr>
                <w:rFonts w:ascii="Georgia" w:hAnsi="Georgia"/>
                <w:sz w:val="19"/>
              </w:rPr>
              <w:t>AEM-001 v1.0</w:t>
            </w:r>
          </w:p>
        </w:tc>
        <w:tc>
          <w:tcPr>
            <w:tcW w:type="dxa" w:w="5700"/>
            <w:vAlign w:val="center"/>
            <w:tcMar>
              <w:top w:w="100" w:type="dxa"/>
              <w:left w:w="100" w:type="dxa"/>
              <w:bottom w:w="100" w:type="dxa"/>
              <w:right w:w="100" w:type="dxa"/>
            </w:tcMar>
          </w:tcPr>
          <w:p>
            <w:pPr>
              <w:spacing w:after="0"/>
            </w:pPr>
            <w:r>
              <w:rPr>
                <w:rFonts w:ascii="Georgia" w:hAnsi="Georgia"/>
                <w:sz w:val="19"/>
              </w:rPr>
              <w:t>This specification traces to</w:t>
            </w:r>
          </w:p>
        </w:tc>
      </w:tr>
      <w:tr>
        <w:tc>
          <w:tcPr>
            <w:tcW w:type="dxa" w:w="3300"/>
            <w:vAlign w:val="center"/>
            <w:tcMar>
              <w:top w:w="100" w:type="dxa"/>
              <w:left w:w="100" w:type="dxa"/>
              <w:bottom w:w="100" w:type="dxa"/>
              <w:right w:w="100" w:type="dxa"/>
            </w:tcMar>
          </w:tcPr>
          <w:p>
            <w:pPr>
              <w:spacing w:after="0"/>
            </w:pPr>
            <w:r>
              <w:rPr>
                <w:rFonts w:ascii="Georgia" w:hAnsi="Georgia"/>
                <w:sz w:val="19"/>
              </w:rPr>
              <w:t>KRM-001 v1.2</w:t>
            </w:r>
          </w:p>
        </w:tc>
        <w:tc>
          <w:tcPr>
            <w:tcW w:type="dxa" w:w="5700"/>
            <w:vAlign w:val="center"/>
            <w:tcMar>
              <w:top w:w="100" w:type="dxa"/>
              <w:left w:w="100" w:type="dxa"/>
              <w:bottom w:w="100" w:type="dxa"/>
              <w:right w:w="100" w:type="dxa"/>
            </w:tcMar>
          </w:tcPr>
          <w:p>
            <w:pPr>
              <w:spacing w:after="0"/>
            </w:pPr>
            <w:r>
              <w:rPr>
                <w:rFonts w:ascii="Georgia" w:hAnsi="Georgia"/>
                <w:sz w:val="19"/>
              </w:rPr>
              <w:t>This specification traces to</w:t>
            </w:r>
          </w:p>
        </w:tc>
      </w:tr>
      <w:tr>
        <w:tc>
          <w:tcPr>
            <w:tcW w:type="dxa" w:w="3300"/>
            <w:vAlign w:val="center"/>
            <w:tcMar>
              <w:top w:w="100" w:type="dxa"/>
              <w:left w:w="100" w:type="dxa"/>
              <w:bottom w:w="100" w:type="dxa"/>
              <w:right w:w="100" w:type="dxa"/>
            </w:tcMar>
          </w:tcPr>
          <w:p>
            <w:pPr>
              <w:spacing w:after="0"/>
            </w:pPr>
            <w:r>
              <w:rPr>
                <w:rFonts w:ascii="Georgia" w:hAnsi="Georgia"/>
                <w:sz w:val="19"/>
              </w:rPr>
              <w:t>DRM-001 v1.1</w:t>
            </w:r>
          </w:p>
        </w:tc>
        <w:tc>
          <w:tcPr>
            <w:tcW w:type="dxa" w:w="5700"/>
            <w:vAlign w:val="center"/>
            <w:tcMar>
              <w:top w:w="100" w:type="dxa"/>
              <w:left w:w="100" w:type="dxa"/>
              <w:bottom w:w="100" w:type="dxa"/>
              <w:right w:w="100" w:type="dxa"/>
            </w:tcMar>
          </w:tcPr>
          <w:p>
            <w:pPr>
              <w:spacing w:after="0"/>
            </w:pPr>
            <w:r>
              <w:rPr>
                <w:rFonts w:ascii="Georgia" w:hAnsi="Georgia"/>
                <w:sz w:val="19"/>
              </w:rPr>
              <w:t>This specification traces to</w:t>
            </w:r>
          </w:p>
        </w:tc>
      </w:tr>
      <w:tr>
        <w:tc>
          <w:tcPr>
            <w:tcW w:type="dxa" w:w="3300"/>
            <w:vAlign w:val="center"/>
            <w:tcMar>
              <w:top w:w="100" w:type="dxa"/>
              <w:left w:w="100" w:type="dxa"/>
              <w:bottom w:w="100" w:type="dxa"/>
              <w:right w:w="100" w:type="dxa"/>
            </w:tcMar>
          </w:tcPr>
          <w:p>
            <w:pPr>
              <w:spacing w:after="0"/>
            </w:pPr>
            <w:r>
              <w:rPr>
                <w:rFonts w:ascii="Georgia" w:hAnsi="Georgia"/>
                <w:sz w:val="19"/>
              </w:rPr>
              <w:t>GEM-001 v1.0</w:t>
            </w:r>
          </w:p>
        </w:tc>
        <w:tc>
          <w:tcPr>
            <w:tcW w:type="dxa" w:w="5700"/>
            <w:vAlign w:val="center"/>
            <w:tcMar>
              <w:top w:w="100" w:type="dxa"/>
              <w:left w:w="100" w:type="dxa"/>
              <w:bottom w:w="100" w:type="dxa"/>
              <w:right w:w="100" w:type="dxa"/>
            </w:tcMar>
          </w:tcPr>
          <w:p>
            <w:pPr>
              <w:spacing w:after="0"/>
            </w:pPr>
            <w:r>
              <w:rPr>
                <w:rFonts w:ascii="Georgia" w:hAnsi="Georgia"/>
                <w:sz w:val="19"/>
              </w:rPr>
              <w:t>This specification traces to</w:t>
            </w:r>
          </w:p>
        </w:tc>
      </w:tr>
      <w:tr>
        <w:tc>
          <w:tcPr>
            <w:tcW w:type="dxa" w:w="3300"/>
            <w:vAlign w:val="center"/>
            <w:tcMar>
              <w:top w:w="100" w:type="dxa"/>
              <w:left w:w="100" w:type="dxa"/>
              <w:bottom w:w="100" w:type="dxa"/>
              <w:right w:w="100" w:type="dxa"/>
            </w:tcMar>
          </w:tcPr>
          <w:p>
            <w:pPr>
              <w:spacing w:after="0"/>
            </w:pPr>
            <w:r>
              <w:rPr>
                <w:rFonts w:ascii="Georgia" w:hAnsi="Georgia"/>
                <w:sz w:val="19"/>
              </w:rPr>
              <w:t>GRM-001 v1.1</w:t>
            </w:r>
          </w:p>
        </w:tc>
        <w:tc>
          <w:tcPr>
            <w:tcW w:type="dxa" w:w="5700"/>
            <w:vAlign w:val="center"/>
            <w:tcMar>
              <w:top w:w="100" w:type="dxa"/>
              <w:left w:w="100" w:type="dxa"/>
              <w:bottom w:w="100" w:type="dxa"/>
              <w:right w:w="100" w:type="dxa"/>
            </w:tcMar>
          </w:tcPr>
          <w:p>
            <w:pPr>
              <w:spacing w:after="0"/>
            </w:pPr>
            <w:r>
              <w:rPr>
                <w:rFonts w:ascii="Georgia" w:hAnsi="Georgia"/>
                <w:sz w:val="19"/>
              </w:rPr>
              <w:t>This specification traces to</w:t>
            </w:r>
          </w:p>
        </w:tc>
      </w:tr>
      <w:tr>
        <w:tc>
          <w:tcPr>
            <w:tcW w:type="dxa" w:w="3300"/>
            <w:vAlign w:val="center"/>
            <w:tcMar>
              <w:top w:w="100" w:type="dxa"/>
              <w:left w:w="100" w:type="dxa"/>
              <w:bottom w:w="100" w:type="dxa"/>
              <w:right w:w="100" w:type="dxa"/>
            </w:tcMar>
          </w:tcPr>
          <w:p>
            <w:pPr>
              <w:spacing w:after="0"/>
            </w:pPr>
            <w:r>
              <w:rPr>
                <w:rFonts w:ascii="Georgia" w:hAnsi="Georgia"/>
                <w:sz w:val="19"/>
              </w:rPr>
              <w:t>CDS-001 v1.3</w:t>
            </w:r>
          </w:p>
        </w:tc>
        <w:tc>
          <w:tcPr>
            <w:tcW w:type="dxa" w:w="5700"/>
            <w:vAlign w:val="center"/>
            <w:tcMar>
              <w:top w:w="100" w:type="dxa"/>
              <w:left w:w="100" w:type="dxa"/>
              <w:bottom w:w="100" w:type="dxa"/>
              <w:right w:w="100" w:type="dxa"/>
            </w:tcMar>
          </w:tcPr>
          <w:p>
            <w:pPr>
              <w:spacing w:after="0"/>
            </w:pPr>
            <w:r>
              <w:rPr>
                <w:rFonts w:ascii="Georgia" w:hAnsi="Georgia"/>
                <w:sz w:val="19"/>
              </w:rPr>
              <w:t>This specification traces to</w:t>
            </w:r>
          </w:p>
        </w:tc>
      </w:tr>
      <w:tr>
        <w:tc>
          <w:tcPr>
            <w:tcW w:type="dxa" w:w="3300"/>
          </w:tcPr>
          <w:p>
            <w:r>
              <w:t>EIC-001 v1.1</w:t>
            </w:r>
          </w:p>
        </w:tc>
        <w:tc>
          <w:tcPr>
            <w:tcW w:type="dxa" w:w="5700"/>
          </w:tcPr>
          <w:p>
            <w:r>
              <w:t>Runtime architecture authority</w:t>
            </w:r>
          </w:p>
        </w:tc>
      </w:tr>
      <w:tr>
        <w:tc>
          <w:tcPr>
            <w:tcW w:type="dxa" w:w="3300"/>
          </w:tcPr>
          <w:p>
            <w:r>
              <w:t>EOM-001 v1.1</w:t>
            </w:r>
          </w:p>
        </w:tc>
        <w:tc>
          <w:tcPr>
            <w:tcW w:type="dxa" w:w="5700"/>
          </w:tcPr>
          <w:p>
            <w:r>
              <w:t>Runtime architecture authority</w:t>
            </w:r>
          </w:p>
        </w:tc>
      </w:tr>
      <w:tr>
        <w:tc>
          <w:tcPr>
            <w:tcW w:type="dxa" w:w="3300"/>
          </w:tcPr>
          <w:p>
            <w:r>
              <w:t>ESM-001 v1.1</w:t>
            </w:r>
          </w:p>
        </w:tc>
        <w:tc>
          <w:tcPr>
            <w:tcW w:type="dxa" w:w="5700"/>
          </w:tcPr>
          <w:p>
            <w:r>
              <w:t>Runtime architecture authority</w:t>
            </w:r>
          </w:p>
        </w:tc>
      </w:tr>
    </w:tbl>
    <w:p>
      <w:pPr>
        <w:pStyle w:val="Heading1"/>
      </w:pPr>
      <w:r>
        <w:t>24 Glossary</w:t>
      </w:r>
    </w:p>
    <w:p>
      <w:pPr/>
      <w:r>
        <w:t>Include definitions for:</w:t>
      </w:r>
    </w:p>
    <w:p>
      <w:pPr>
        <w:pStyle w:val="Caption"/>
        <w:jc w:val="center"/>
      </w:pPr>
      <w:r>
        <w:t>Table 6 — Glossary</w:t>
      </w:r>
    </w:p>
    <w:tbl>
      <w:tblPr>
        <w:tblW w:type="dxa" w:w="9000"/>
        <w:jc w:val="center"/>
        <w:tblLayout w:type="fixed"/>
        <w:tblLook w:firstColumn="1" w:firstRow="1" w:lastColumn="0" w:lastRow="0" w:noHBand="0" w:noVBand="1" w:val="04A0"/>
      </w:tblPr>
      <w:tblGrid>
        <w:gridCol w:w="2800"/>
        <w:gridCol w:w="6200"/>
      </w:tblGrid>
      <w:tr>
        <w:trPr>
          <w:tblHeader w:val="true"/>
        </w:trPr>
        <w:tc>
          <w:tcPr>
            <w:tcW w:type="dxa" w:w="2800"/>
            <w:vAlign w:val="center"/>
            <w:tcMar>
              <w:top w:w="100" w:type="dxa"/>
              <w:left w:w="100" w:type="dxa"/>
              <w:bottom w:w="100" w:type="dxa"/>
              <w:right w:w="100" w:type="dxa"/>
            </w:tcMar>
            <w:shd w:fill="376092"/>
          </w:tcPr>
          <w:p>
            <w:pPr>
              <w:spacing w:after="0"/>
            </w:pPr>
            <w:r>
              <w:rPr>
                <w:rFonts w:ascii="Georgia" w:hAnsi="Georgia"/>
                <w:b/>
                <w:color w:val="FFFFFF"/>
                <w:sz w:val="19"/>
              </w:rPr>
              <w:t>Term</w:t>
            </w:r>
          </w:p>
        </w:tc>
        <w:tc>
          <w:tcPr>
            <w:tcW w:type="dxa" w:w="6200"/>
            <w:vAlign w:val="center"/>
            <w:tcMar>
              <w:top w:w="100" w:type="dxa"/>
              <w:left w:w="100" w:type="dxa"/>
              <w:bottom w:w="100" w:type="dxa"/>
              <w:right w:w="100" w:type="dxa"/>
            </w:tcMar>
            <w:shd w:fill="376092"/>
          </w:tcPr>
          <w:p>
            <w:pPr>
              <w:spacing w:after="0"/>
            </w:pPr>
            <w:r>
              <w:rPr>
                <w:rFonts w:ascii="Georgia" w:hAnsi="Georgia"/>
                <w:b/>
                <w:color w:val="FFFFFF"/>
                <w:sz w:val="19"/>
              </w:rPr>
              <w:t>Definition</w:t>
            </w:r>
          </w:p>
        </w:tc>
      </w:tr>
      <w:tr>
        <w:tc>
          <w:tcPr>
            <w:tcW w:type="dxa" w:w="2800"/>
            <w:vAlign w:val="center"/>
            <w:tcMar>
              <w:top w:w="100" w:type="dxa"/>
              <w:left w:w="100" w:type="dxa"/>
              <w:bottom w:w="100" w:type="dxa"/>
              <w:right w:w="100" w:type="dxa"/>
            </w:tcMar>
          </w:tcPr>
          <w:p>
            <w:pPr>
              <w:spacing w:after="0"/>
            </w:pPr>
            <w:r>
              <w:rPr>
                <w:rFonts w:ascii="Georgia" w:hAnsi="Georgia"/>
                <w:sz w:val="19"/>
              </w:rPr>
              <w:t>Product Access Protocol</w:t>
            </w:r>
          </w:p>
        </w:tc>
        <w:tc>
          <w:tcPr>
            <w:tcW w:type="dxa" w:w="6200"/>
            <w:vAlign w:val="center"/>
            <w:tcMar>
              <w:top w:w="100" w:type="dxa"/>
              <w:left w:w="100" w:type="dxa"/>
              <w:bottom w:w="100" w:type="dxa"/>
              <w:right w:w="100" w:type="dxa"/>
            </w:tcMar>
          </w:tcPr>
          <w:p>
            <w:pPr>
              <w:spacing w:after="0"/>
            </w:pPr>
            <w:r>
              <w:rPr>
                <w:rFonts w:ascii="Georgia" w:hAnsi="Georgia"/>
                <w:sz w:val="19"/>
              </w:rPr>
              <w:t>The Product Access Protocol (PAP) defines the authoritative architectural protocol governing all interactions between products and the CTEC Cognitive Engine.</w:t>
            </w:r>
          </w:p>
        </w:tc>
      </w:tr>
      <w:tr>
        <w:tc>
          <w:tcPr>
            <w:tcW w:type="dxa" w:w="2800"/>
            <w:vAlign w:val="center"/>
            <w:tcMar>
              <w:top w:w="100" w:type="dxa"/>
              <w:left w:w="100" w:type="dxa"/>
              <w:bottom w:w="100" w:type="dxa"/>
              <w:right w:w="100" w:type="dxa"/>
            </w:tcMar>
          </w:tcPr>
          <w:p>
            <w:pPr>
              <w:spacing w:after="0"/>
            </w:pPr>
            <w:r>
              <w:rPr>
                <w:rFonts w:ascii="Georgia" w:hAnsi="Georgia"/>
                <w:sz w:val="19"/>
              </w:rPr>
              <w:t>Engine Access Facade</w:t>
            </w:r>
          </w:p>
        </w:tc>
        <w:tc>
          <w:tcPr>
            <w:tcW w:type="dxa" w:w="6200"/>
            <w:vAlign w:val="center"/>
            <w:tcMar>
              <w:top w:w="100" w:type="dxa"/>
              <w:left w:w="100" w:type="dxa"/>
              <w:bottom w:w="100" w:type="dxa"/>
              <w:right w:w="100" w:type="dxa"/>
            </w:tcMar>
          </w:tcPr>
          <w:p>
            <w:pPr>
              <w:spacing w:after="0"/>
            </w:pPr>
            <w:r>
              <w:rPr>
                <w:rFonts w:ascii="Georgia" w:hAnsi="Georgia"/>
                <w:sz w:val="19"/>
              </w:rPr>
              <w:t>The Engine Access Facade is the runtime realization of the Product Access Protocol and forms the exclusive architectural boundary through which products invoke the Cognitive Engine.</w:t>
            </w:r>
          </w:p>
        </w:tc>
      </w:tr>
      <w:tr>
        <w:tc>
          <w:tcPr>
            <w:tcW w:type="dxa" w:w="2800"/>
            <w:vAlign w:val="center"/>
            <w:tcMar>
              <w:top w:w="100" w:type="dxa"/>
              <w:left w:w="100" w:type="dxa"/>
              <w:bottom w:w="100" w:type="dxa"/>
              <w:right w:w="100" w:type="dxa"/>
            </w:tcMar>
          </w:tcPr>
          <w:p>
            <w:pPr>
              <w:spacing w:after="0"/>
            </w:pPr>
            <w:r>
              <w:rPr>
                <w:rFonts w:ascii="Georgia" w:hAnsi="Georgia"/>
                <w:sz w:val="19"/>
              </w:rPr>
              <w:t>Enterprise Ontology Projection</w:t>
            </w:r>
          </w:p>
        </w:tc>
        <w:tc>
          <w:tcPr>
            <w:tcW w:type="dxa" w:w="6200"/>
            <w:vAlign w:val="center"/>
            <w:tcMar>
              <w:top w:w="100" w:type="dxa"/>
              <w:left w:w="100" w:type="dxa"/>
              <w:bottom w:w="100" w:type="dxa"/>
              <w:right w:w="100" w:type="dxa"/>
            </w:tcMar>
          </w:tcPr>
          <w:p>
            <w:pPr>
              <w:spacing w:after="0"/>
            </w:pPr>
            <w:r>
              <w:rPr>
                <w:rFonts w:ascii="Georgia" w:hAnsi="Georgia"/>
                <w:sz w:val="19"/>
              </w:rPr>
              <w:t>The Cognitive Engine SHALL generate runtime Enterprise Ontology Projections derived from:</w:t>
              <w:br/>
              <w:t>the frozen Canonical Enterprise Ontology</w:t>
              <w:br/>
              <w:t>immutable cognitive records</w:t>
            </w:r>
          </w:p>
        </w:tc>
      </w:tr>
      <w:tr>
        <w:tc>
          <w:tcPr>
            <w:tcW w:type="dxa" w:w="2800"/>
            <w:vAlign w:val="center"/>
            <w:tcMar>
              <w:top w:w="100" w:type="dxa"/>
              <w:left w:w="100" w:type="dxa"/>
              <w:bottom w:w="100" w:type="dxa"/>
              <w:right w:w="100" w:type="dxa"/>
            </w:tcMar>
          </w:tcPr>
          <w:p>
            <w:pPr>
              <w:spacing w:after="0"/>
            </w:pPr>
            <w:r>
              <w:rPr>
                <w:rFonts w:ascii="Georgia" w:hAnsi="Georgia"/>
                <w:sz w:val="19"/>
              </w:rPr>
              <w:t>Correlation Identifier</w:t>
            </w:r>
          </w:p>
        </w:tc>
        <w:tc>
          <w:tcPr>
            <w:tcW w:type="dxa" w:w="6200"/>
            <w:vAlign w:val="center"/>
            <w:tcMar>
              <w:top w:w="100" w:type="dxa"/>
              <w:left w:w="100" w:type="dxa"/>
              <w:bottom w:w="100" w:type="dxa"/>
              <w:right w:w="100" w:type="dxa"/>
            </w:tcMar>
          </w:tcPr>
          <w:p>
            <w:pPr>
              <w:spacing w:after="0"/>
            </w:pPr>
            <w:r>
              <w:rPr>
                <w:rFonts w:ascii="Georgia" w:hAnsi="Georgia"/>
                <w:sz w:val="19"/>
              </w:rPr>
              <w:t>Correlation identifiers SHALL remain stable throughout execution.</w:t>
            </w:r>
          </w:p>
        </w:tc>
      </w:tr>
      <w:tr>
        <w:tc>
          <w:tcPr>
            <w:tcW w:type="dxa" w:w="2800"/>
            <w:vAlign w:val="center"/>
            <w:tcMar>
              <w:top w:w="100" w:type="dxa"/>
              <w:left w:w="100" w:type="dxa"/>
              <w:bottom w:w="100" w:type="dxa"/>
              <w:right w:w="100" w:type="dxa"/>
            </w:tcMar>
          </w:tcPr>
          <w:p>
            <w:pPr>
              <w:spacing w:after="0"/>
            </w:pPr>
            <w:r>
              <w:rPr>
                <w:rFonts w:ascii="Georgia" w:hAnsi="Georgia"/>
                <w:sz w:val="19"/>
              </w:rPr>
              <w:t>Request Identifier</w:t>
            </w:r>
          </w:p>
        </w:tc>
        <w:tc>
          <w:tcPr>
            <w:tcW w:type="dxa" w:w="6200"/>
            <w:vAlign w:val="center"/>
            <w:tcMar>
              <w:top w:w="100" w:type="dxa"/>
              <w:left w:w="100" w:type="dxa"/>
              <w:bottom w:w="100" w:type="dxa"/>
              <w:right w:w="100" w:type="dxa"/>
            </w:tcMar>
          </w:tcPr>
          <w:p>
            <w:pPr>
              <w:spacing w:after="0"/>
            </w:pPr>
            <w:r>
              <w:rPr>
                <w:rFonts w:ascii="Georgia" w:hAnsi="Georgia"/>
                <w:sz w:val="19"/>
              </w:rPr>
              <w:t>Duplicate requests SHALL be identified by Request Identifier.</w:t>
            </w:r>
          </w:p>
        </w:tc>
      </w:tr>
      <w:tr>
        <w:tc>
          <w:tcPr>
            <w:tcW w:type="dxa" w:w="2800"/>
            <w:vAlign w:val="center"/>
            <w:tcMar>
              <w:top w:w="100" w:type="dxa"/>
              <w:left w:w="100" w:type="dxa"/>
              <w:bottom w:w="100" w:type="dxa"/>
              <w:right w:w="100" w:type="dxa"/>
            </w:tcMar>
          </w:tcPr>
          <w:p>
            <w:pPr>
              <w:spacing w:after="0"/>
            </w:pPr>
            <w:r>
              <w:rPr>
                <w:rFonts w:ascii="Georgia" w:hAnsi="Georgia"/>
                <w:sz w:val="19"/>
              </w:rPr>
              <w:t>Session Identifier</w:t>
            </w:r>
          </w:p>
        </w:tc>
        <w:tc>
          <w:tcPr>
            <w:tcW w:type="dxa" w:w="6200"/>
            <w:vAlign w:val="center"/>
            <w:tcMar>
              <w:top w:w="100" w:type="dxa"/>
              <w:left w:w="100" w:type="dxa"/>
              <w:bottom w:w="100" w:type="dxa"/>
              <w:right w:w="100" w:type="dxa"/>
            </w:tcMar>
          </w:tcPr>
          <w:p>
            <w:pPr>
              <w:spacing w:after="0"/>
            </w:pPr>
            <w:r>
              <w:rPr>
                <w:rFonts w:ascii="Georgia" w:hAnsi="Georgia"/>
                <w:sz w:val="19"/>
              </w:rPr>
              <w:t>A protocol identifier representing a continuous sequence of related Product Access Protocol interactions initiated by a product session. It provides correlation across multiple requests within the same product interaction. It carries no business meaning.</w:t>
            </w:r>
          </w:p>
        </w:tc>
      </w:tr>
      <w:tr>
        <w:tc>
          <w:tcPr>
            <w:tcW w:type="dxa" w:w="2800"/>
            <w:vAlign w:val="center"/>
            <w:tcMar>
              <w:top w:w="100" w:type="dxa"/>
              <w:left w:w="100" w:type="dxa"/>
              <w:bottom w:w="100" w:type="dxa"/>
              <w:right w:w="100" w:type="dxa"/>
            </w:tcMar>
          </w:tcPr>
          <w:p>
            <w:pPr>
              <w:spacing w:after="0"/>
            </w:pPr>
            <w:r>
              <w:rPr>
                <w:rFonts w:ascii="Georgia" w:hAnsi="Georgia"/>
                <w:sz w:val="19"/>
              </w:rPr>
              <w:t>Execution Identifier</w:t>
            </w:r>
          </w:p>
        </w:tc>
        <w:tc>
          <w:tcPr>
            <w:tcW w:type="dxa" w:w="6200"/>
            <w:vAlign w:val="center"/>
            <w:tcMar>
              <w:top w:w="100" w:type="dxa"/>
              <w:left w:w="100" w:type="dxa"/>
              <w:bottom w:w="100" w:type="dxa"/>
              <w:right w:w="100" w:type="dxa"/>
            </w:tcMar>
          </w:tcPr>
          <w:p>
            <w:pPr>
              <w:spacing w:after="0"/>
            </w:pPr>
            <w:r>
              <w:rPr>
                <w:b w:val="0"/>
              </w:rPr>
              <w:t>A protocol identifier created and owned by the Cognitive Engine to uniquely identify one admitted execution. PAD transports the identifier but does not assign or own it. It enables products to observe execution observation and retrieve execution status. It carries no business meaning.</w:t>
            </w:r>
          </w:p>
        </w:tc>
      </w:tr>
      <w:tr>
        <w:tc>
          <w:tcPr>
            <w:tcW w:type="dxa" w:w="2800"/>
            <w:vAlign w:val="center"/>
            <w:tcMar>
              <w:top w:w="100" w:type="dxa"/>
              <w:left w:w="100" w:type="dxa"/>
              <w:bottom w:w="100" w:type="dxa"/>
              <w:right w:w="100" w:type="dxa"/>
            </w:tcMar>
          </w:tcPr>
          <w:p>
            <w:pPr>
              <w:spacing w:after="0"/>
            </w:pPr>
            <w:r>
              <w:rPr>
                <w:rFonts w:ascii="Georgia" w:hAnsi="Georgia"/>
                <w:sz w:val="19"/>
              </w:rPr>
              <w:t>Product Layer</w:t>
            </w:r>
          </w:p>
        </w:tc>
        <w:tc>
          <w:tcPr>
            <w:tcW w:type="dxa" w:w="6200"/>
            <w:vAlign w:val="center"/>
            <w:tcMar>
              <w:top w:w="100" w:type="dxa"/>
              <w:left w:w="100" w:type="dxa"/>
              <w:bottom w:w="100" w:type="dxa"/>
              <w:right w:w="100" w:type="dxa"/>
            </w:tcMar>
          </w:tcPr>
          <w:p>
            <w:pPr>
              <w:spacing w:after="0"/>
            </w:pPr>
            <w:r>
              <w:rPr>
                <w:rFonts w:ascii="Georgia" w:hAnsi="Georgia"/>
                <w:sz w:val="19"/>
              </w:rPr>
              <w:t>Products SHALL visualize enterprise understanding. Products SHALL NOT create enterprise understanding.</w:t>
            </w:r>
          </w:p>
        </w:tc>
      </w:tr>
      <w:tr>
        <w:tc>
          <w:tcPr>
            <w:tcW w:type="dxa" w:w="2800"/>
            <w:vAlign w:val="center"/>
            <w:tcMar>
              <w:top w:w="100" w:type="dxa"/>
              <w:left w:w="100" w:type="dxa"/>
              <w:bottom w:w="100" w:type="dxa"/>
              <w:right w:w="100" w:type="dxa"/>
            </w:tcMar>
          </w:tcPr>
          <w:p>
            <w:pPr>
              <w:spacing w:after="0"/>
            </w:pPr>
            <w:r>
              <w:rPr>
                <w:rFonts w:ascii="Georgia" w:hAnsi="Georgia"/>
                <w:sz w:val="19"/>
              </w:rPr>
              <w:t>Cognitive Engine</w:t>
            </w:r>
          </w:p>
        </w:tc>
        <w:tc>
          <w:tcPr>
            <w:tcW w:type="dxa" w:w="6200"/>
            <w:vAlign w:val="center"/>
            <w:tcMar>
              <w:top w:w="100" w:type="dxa"/>
              <w:left w:w="100" w:type="dxa"/>
              <w:bottom w:w="100" w:type="dxa"/>
              <w:right w:w="100" w:type="dxa"/>
            </w:tcMar>
          </w:tcPr>
          <w:p>
            <w:pPr>
              <w:spacing w:after="0"/>
            </w:pPr>
            <w:r>
              <w:rPr>
                <w:rFonts w:ascii="Georgia" w:hAnsi="Georgia"/>
                <w:sz w:val="19"/>
              </w:rPr>
              <w:t>The Cognitive Engine establishes enterprise understanding.</w:t>
            </w:r>
          </w:p>
        </w:tc>
      </w:tr>
    </w:tbl>
    <w:p>
      <w:pPr>
        <w:pStyle w:val="Heading1"/>
      </w:pPr>
      <w:r>
        <w:t>Acronyms</w:t>
      </w:r>
    </w:p>
    <w:p>
      <w:pPr/>
      <w:r>
        <w:t>Architectural acronyms used by this specification retain the meanings defined by their authoritative source documents. PAD-001 does not redefine architectural terminology.</w:t>
      </w:r>
    </w:p>
    <w:p>
      <w:pPr>
        <w:pStyle w:val="Heading1"/>
      </w:pPr>
      <w:r>
        <w:t>25 Product Philosophy</w:t>
      </w:r>
    </w:p>
    <w:p>
      <w:pPr/>
      <w:r>
        <w:t>The Product Layer exists to make Enterprise Cognition accessible without becoming part of Enterprise Cognition.</w:t>
      </w:r>
    </w:p>
    <w:p>
      <w:pPr/>
      <w:r>
        <w:t>Products ask questions.</w:t>
      </w:r>
    </w:p>
    <w:p>
      <w:pPr/>
      <w:r>
        <w:t>The Product Access Protocol transports those questions.</w:t>
      </w:r>
    </w:p>
    <w:p>
      <w:pPr/>
      <w:r>
        <w:t>The Engine Access Facade invokes the Cognitive Engine.</w:t>
      </w:r>
    </w:p>
    <w:p>
      <w:pPr/>
      <w:r>
        <w:t>The Cognitive Engine establishes enterprise understanding.</w:t>
      </w:r>
    </w:p>
    <w:p>
      <w:pPr/>
      <w:r>
        <w:t>Products visualize enterprise understanding through Enterprise Ontology Projections and governed explanations.</w:t>
      </w:r>
    </w:p>
    <w:p>
      <w:pPr/>
      <w:r>
        <w:t>The Product Access Protocol preserves the independence, authority, and immutability of the Cognitive Engine while enabling multiple independent products to share one enterprise cognitive platform.</w:t>
      </w:r>
    </w:p>
    <w:sectPr w:rsidR="00FC693F" w:rsidRPr="0006063C" w:rsidSect="00034616">
      <w:headerReference w:type="default" r:id="rId9"/>
      <w:footerReference w:type="default" r:id="rId10"/>
      <w:pgSz w:w="12240" w:h="15840"/>
      <w:pgMar w:top="1440" w:right="1800" w:bottom="1440" w:left="1800" w:header="648"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 xml:space="preserve">FROZEN  •  Version 1.1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color w:val="17365D"/>
        <w:sz w:val="16"/>
      </w:rPr>
      <w:t>PAD-001  |  PRODUCT ACCESS PROTOCOL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376092"/>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rial" w:hAnsi="Arial"/>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60" w:hanging="230"/>
      <w:contextualSpacing/>
    </w:pPr>
    <w:rPr>
      <w:rFonts w:ascii="Georgia" w:hAnsi="Georg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20" w:after="80"/>
    </w:pPr>
    <w:rPr>
      <w:rFonts w:ascii="Arial" w:hAnsi="Arial"/>
      <w:b/>
      <w:bCs/>
      <w:color w:val="6666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PAD-001 v1.1 — Product Access Protocol Specification</dc:title>
  <dc:subject>Architecture Specification</dc:subject>
  <dc:creator>python-docx</dc:creator>
  <cp:keywords>CTEC, PAD-001, Product Access Protocol, FROZEN</cp:keywords>
  <dc:description>generated by python-docx</dc:description>
  <cp:lastModifiedBy/>
  <cp:revision>1</cp:revision>
  <dcterms:created xsi:type="dcterms:W3CDTF">2013-12-23T23:15:00Z</dcterms:created>
  <dcterms:modified xsi:type="dcterms:W3CDTF">2013-12-23T23:15:00Z</dcterms:modified>
  <cp:category/>
</cp:coreProperties>
</file>