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SRM-001 — Semantic Resolution Business Capability Specification</w:t>
      </w:r>
    </w:p>
    <w:p>
      <w:pPr>
        <w:jc w:val="center"/>
      </w:pPr>
      <w:r>
        <w:rPr>
          <w:b/>
        </w:rPr>
        <w:t>Version 1.0</w:t>
        <w:br/>
      </w:r>
      <w:r>
        <w:t>Status: FROZEN</w:t>
        <w:br/>
      </w:r>
      <w:r>
        <w:t>Document Type: Business Capability Specification (BCS)</w:t>
        <w:br/>
      </w:r>
      <w:r>
        <w:t>Authoritative for: CDD-005</w:t>
      </w:r>
    </w:p>
    <w:p>
      <w:pPr>
        <w:pStyle w:val="Heading1"/>
      </w:pPr>
      <w:r>
        <w:t>1. Executive Summary</w:t>
      </w:r>
    </w:p>
    <w:p>
      <w:r>
        <w:t>Semantic Resolution is the second cognitive capability in CTEC. After Enterprise Entity Resolution establishes the identity of a real-world object, Semantic Resolution establishes the enterprise's current understanding of what that object means within the business context.</w:t>
      </w:r>
    </w:p>
    <w:p>
      <w:pPr>
        <w:pStyle w:val="Heading1"/>
      </w:pPr>
      <w:r>
        <w:t>2. Business Purpose</w:t>
      </w:r>
    </w:p>
    <w:p>
      <w:r>
        <w:t>Enterprise Entity Resolution answers 'Who or What is this?'. Semantic Resolution answers 'What does this mean to the enterprise?'.</w:t>
      </w:r>
    </w:p>
    <w:p>
      <w:r>
        <w:t>The capability interprets Enterprise Entities using enterprise vocabulary, policies, and business context. It does not change the Canonical Enterprise Ontology.</w:t>
      </w:r>
    </w:p>
    <w:p>
      <w:pPr>
        <w:pStyle w:val="Heading1"/>
      </w:pPr>
      <w:r>
        <w:t>3. Capability Boundary</w:t>
      </w:r>
    </w:p>
    <w:p>
      <w:pPr>
        <w:pStyle w:val="Heading2"/>
      </w:pPr>
      <w:r>
        <w:t>Owns</w:t>
      </w:r>
    </w:p>
    <w:p>
      <w:r>
        <w:t>• Semantic Candidate Discovery</w:t>
      </w:r>
    </w:p>
    <w:p>
      <w:r>
        <w:t>• Semantic Evaluation</w:t>
      </w:r>
    </w:p>
    <w:p>
      <w:r>
        <w:t>• Semantic Resolution</w:t>
      </w:r>
    </w:p>
    <w:p>
      <w:r>
        <w:t>• Business Confidence Classification</w:t>
      </w:r>
    </w:p>
    <w:p>
      <w:r>
        <w:t>• Semantic Explanation</w:t>
      </w:r>
    </w:p>
    <w:p>
      <w:r>
        <w:t>• Semantic Resolution Record</w:t>
      </w:r>
    </w:p>
    <w:p>
      <w:pPr>
        <w:pStyle w:val="Heading2"/>
      </w:pPr>
      <w:r>
        <w:t>Does Not Own</w:t>
      </w:r>
    </w:p>
    <w:p>
      <w:r>
        <w:t>• Canonical Enterprise Ontology</w:t>
      </w:r>
    </w:p>
    <w:p>
      <w:r>
        <w:t>• Enterprise Entity Resolution</w:t>
      </w:r>
    </w:p>
    <w:p>
      <w:r>
        <w:t>• Assertions</w:t>
      </w:r>
    </w:p>
    <w:p>
      <w:r>
        <w:t>• Knowledge</w:t>
      </w:r>
    </w:p>
    <w:p>
      <w:r>
        <w:t>• Decision</w:t>
      </w:r>
    </w:p>
    <w:p>
      <w:r>
        <w:t>• Governance</w:t>
      </w:r>
    </w:p>
    <w:p>
      <w:r>
        <w:t>• AI reasoning</w:t>
      </w:r>
    </w:p>
    <w:p>
      <w:r>
        <w:t>• Enterprise Entity modification</w:t>
      </w:r>
    </w:p>
    <w:p>
      <w:pPr>
        <w:pStyle w:val="Heading1"/>
      </w:pPr>
      <w:r>
        <w:t>4. Cognitive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Principle</w:t>
            </w:r>
          </w:p>
        </w:tc>
        <w:tc>
          <w:tcPr>
            <w:tcW w:type="dxa" w:w="4320"/>
          </w:tcPr>
          <w:p>
            <w:r>
              <w:t>Statement</w:t>
            </w:r>
          </w:p>
        </w:tc>
      </w:tr>
      <w:tr>
        <w:tc>
          <w:tcPr>
            <w:tcW w:type="dxa" w:w="4320"/>
          </w:tcPr>
          <w:p>
            <w:r>
              <w:t>CP-SR-001</w:t>
            </w:r>
          </w:p>
        </w:tc>
        <w:tc>
          <w:tcPr>
            <w:tcW w:type="dxa" w:w="4320"/>
          </w:tcPr>
          <w:p>
            <w:r>
              <w:t>Meaning belongs to the enterprise, not to the source system.</w:t>
            </w:r>
          </w:p>
        </w:tc>
      </w:tr>
      <w:tr>
        <w:tc>
          <w:tcPr>
            <w:tcW w:type="dxa" w:w="4320"/>
          </w:tcPr>
          <w:p>
            <w:r>
              <w:t>CP-SR-002</w:t>
            </w:r>
          </w:p>
        </w:tc>
        <w:tc>
          <w:tcPr>
            <w:tcW w:type="dxa" w:w="4320"/>
          </w:tcPr>
          <w:p>
            <w:r>
              <w:t>Meaning is contextual and may legitimately differ across business domains.</w:t>
            </w:r>
          </w:p>
        </w:tc>
      </w:tr>
      <w:tr>
        <w:tc>
          <w:tcPr>
            <w:tcW w:type="dxa" w:w="4320"/>
          </w:tcPr>
          <w:p>
            <w:r>
              <w:t>CP-SR-003</w:t>
            </w:r>
          </w:p>
        </w:tc>
        <w:tc>
          <w:tcPr>
            <w:tcW w:type="dxa" w:w="4320"/>
          </w:tcPr>
          <w:p>
            <w:r>
              <w:t>Semantic Resolution Records are immutable business artifacts.</w:t>
            </w:r>
          </w:p>
        </w:tc>
      </w:tr>
      <w:tr>
        <w:tc>
          <w:tcPr>
            <w:tcW w:type="dxa" w:w="4320"/>
          </w:tcPr>
          <w:p>
            <w:r>
              <w:t>CP-SR-004</w:t>
            </w:r>
          </w:p>
        </w:tc>
        <w:tc>
          <w:tcPr>
            <w:tcW w:type="dxa" w:w="4320"/>
          </w:tcPr>
          <w:p>
            <w:r>
              <w:t>Business Confidence expresses confidence in the enterprise's interpretation, not algorithmic probability.</w:t>
            </w:r>
          </w:p>
        </w:tc>
      </w:tr>
      <w:tr>
        <w:tc>
          <w:tcPr>
            <w:tcW w:type="dxa" w:w="4320"/>
          </w:tcPr>
          <w:p>
            <w:r>
              <w:t>CP-SR-005</w:t>
            </w:r>
          </w:p>
        </w:tc>
        <w:tc>
          <w:tcPr>
            <w:tcW w:type="dxa" w:w="4320"/>
          </w:tcPr>
          <w:p>
            <w:r>
              <w:t>Human override is an authorized business action and creates a new Semantic Resolution Record.</w:t>
            </w:r>
          </w:p>
        </w:tc>
      </w:tr>
      <w:tr>
        <w:tc>
          <w:tcPr>
            <w:tcW w:type="dxa" w:w="4320"/>
          </w:tcPr>
          <w:p>
            <w:r>
              <w:t>CP-SR-006</w:t>
            </w:r>
          </w:p>
        </w:tc>
        <w:tc>
          <w:tcPr>
            <w:tcW w:type="dxa" w:w="4320"/>
          </w:tcPr>
          <w:p>
            <w:r>
              <w:t>Every semantic interpretation must be explainable and traceable to supporting evidence and policy.</w:t>
            </w:r>
          </w:p>
        </w:tc>
      </w:tr>
    </w:tbl>
    <w:p>
      <w:pPr>
        <w:pStyle w:val="Heading1"/>
      </w:pPr>
      <w:r>
        <w:t>5. Inputs</w:t>
      </w:r>
    </w:p>
    <w:p>
      <w:r>
        <w:t>• Enterprise Entity</w:t>
      </w:r>
    </w:p>
    <w:p>
      <w:r>
        <w:t>• Enterprise Entity Resolution Record</w:t>
      </w:r>
    </w:p>
    <w:p>
      <w:r>
        <w:t>• Source Object</w:t>
      </w:r>
    </w:p>
    <w:p>
      <w:r>
        <w:t>• Enterprise Vocabulary</w:t>
      </w:r>
    </w:p>
    <w:p>
      <w:r>
        <w:t>• Business Policies</w:t>
      </w:r>
    </w:p>
    <w:p>
      <w:pPr>
        <w:pStyle w:val="Heading1"/>
      </w:pPr>
      <w:r>
        <w:t>6. Outputs</w:t>
      </w:r>
    </w:p>
    <w:p>
      <w:r>
        <w:t>• Semantic Resolution Record</w:t>
      </w:r>
    </w:p>
    <w:p>
      <w:pPr>
        <w:pStyle w:val="Heading1"/>
      </w:pPr>
      <w:r>
        <w:t>7. Semantic Resolution Record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Business Attribute</w:t>
            </w:r>
          </w:p>
        </w:tc>
        <w:tc>
          <w:tcPr>
            <w:tcW w:type="dxa" w:w="4320"/>
          </w:tcPr>
          <w:p>
            <w:r>
              <w:t>Business Definition</w:t>
            </w:r>
          </w:p>
        </w:tc>
      </w:tr>
      <w:tr>
        <w:tc>
          <w:tcPr>
            <w:tcW w:type="dxa" w:w="4320"/>
          </w:tcPr>
          <w:p>
            <w:r>
              <w:t>Record Identifier</w:t>
            </w:r>
          </w:p>
        </w:tc>
        <w:tc>
          <w:tcPr>
            <w:tcW w:type="dxa" w:w="4320"/>
          </w:tcPr>
          <w:p>
            <w:r>
              <w:t>Unique identifier.</w:t>
            </w:r>
          </w:p>
        </w:tc>
      </w:tr>
      <w:tr>
        <w:tc>
          <w:tcPr>
            <w:tcW w:type="dxa" w:w="4320"/>
          </w:tcPr>
          <w:p>
            <w:r>
              <w:t>Enterprise Entity Reference</w:t>
            </w:r>
          </w:p>
        </w:tc>
        <w:tc>
          <w:tcPr>
            <w:tcW w:type="dxa" w:w="4320"/>
          </w:tcPr>
          <w:p>
            <w:r>
              <w:t>Enterprise Entity being interpreted.</w:t>
            </w:r>
          </w:p>
        </w:tc>
      </w:tr>
      <w:tr>
        <w:tc>
          <w:tcPr>
            <w:tcW w:type="dxa" w:w="4320"/>
          </w:tcPr>
          <w:p>
            <w:r>
              <w:t>Semantic Interpretation</w:t>
            </w:r>
          </w:p>
        </w:tc>
        <w:tc>
          <w:tcPr>
            <w:tcW w:type="dxa" w:w="4320"/>
          </w:tcPr>
          <w:p>
            <w:r>
              <w:t>Enterprise meaning assigned.</w:t>
            </w:r>
          </w:p>
        </w:tc>
      </w:tr>
      <w:tr>
        <w:tc>
          <w:tcPr>
            <w:tcW w:type="dxa" w:w="4320"/>
          </w:tcPr>
          <w:p>
            <w:r>
              <w:t>Business Context</w:t>
            </w:r>
          </w:p>
        </w:tc>
        <w:tc>
          <w:tcPr>
            <w:tcW w:type="dxa" w:w="4320"/>
          </w:tcPr>
          <w:p>
            <w:r>
              <w:t>Business domain or context in which meaning applies.</w:t>
            </w:r>
          </w:p>
        </w:tc>
      </w:tr>
      <w:tr>
        <w:tc>
          <w:tcPr>
            <w:tcW w:type="dxa" w:w="4320"/>
          </w:tcPr>
          <w:p>
            <w:r>
              <w:t>Business Confidence</w:t>
            </w:r>
          </w:p>
        </w:tc>
        <w:tc>
          <w:tcPr>
            <w:tcW w:type="dxa" w:w="4320"/>
          </w:tcPr>
          <w:p>
            <w:r>
              <w:t>High / Medium / Low.</w:t>
            </w:r>
          </w:p>
        </w:tc>
      </w:tr>
      <w:tr>
        <w:tc>
          <w:tcPr>
            <w:tcW w:type="dxa" w:w="4320"/>
          </w:tcPr>
          <w:p>
            <w:r>
              <w:t>Semantic Explanation</w:t>
            </w:r>
          </w:p>
        </w:tc>
        <w:tc>
          <w:tcPr>
            <w:tcW w:type="dxa" w:w="4320"/>
          </w:tcPr>
          <w:p>
            <w:r>
              <w:t>Structured reasons and human-readable narrative.</w:t>
            </w:r>
          </w:p>
        </w:tc>
      </w:tr>
      <w:tr>
        <w:tc>
          <w:tcPr>
            <w:tcW w:type="dxa" w:w="4320"/>
          </w:tcPr>
          <w:p>
            <w:r>
              <w:t>Supporting Evidence</w:t>
            </w:r>
          </w:p>
        </w:tc>
        <w:tc>
          <w:tcPr>
            <w:tcW w:type="dxa" w:w="4320"/>
          </w:tcPr>
          <w:p>
            <w:r>
              <w:t>References to supporting records used during interpretation.</w:t>
            </w:r>
          </w:p>
        </w:tc>
      </w:tr>
      <w:tr>
        <w:tc>
          <w:tcPr>
            <w:tcW w:type="dxa" w:w="4320"/>
          </w:tcPr>
          <w:p>
            <w:r>
              <w:t>Policy Version</w:t>
            </w:r>
          </w:p>
        </w:tc>
        <w:tc>
          <w:tcPr>
            <w:tcW w:type="dxa" w:w="4320"/>
          </w:tcPr>
          <w:p>
            <w:r>
              <w:t>Business policy version used.</w:t>
            </w:r>
          </w:p>
        </w:tc>
      </w:tr>
      <w:tr>
        <w:tc>
          <w:tcPr>
            <w:tcW w:type="dxa" w:w="4320"/>
          </w:tcPr>
          <w:p>
            <w:r>
              <w:t>Produced Timestamp</w:t>
            </w:r>
          </w:p>
        </w:tc>
        <w:tc>
          <w:tcPr>
            <w:tcW w:type="dxa" w:w="4320"/>
          </w:tcPr>
          <w:p>
            <w:r>
              <w:t>When interpretation was recorded.</w:t>
            </w:r>
          </w:p>
        </w:tc>
      </w:tr>
      <w:tr>
        <w:tc>
          <w:tcPr>
            <w:tcW w:type="dxa" w:w="4320"/>
          </w:tcPr>
          <w:p>
            <w:r>
              <w:t>Record Status</w:t>
            </w:r>
          </w:p>
        </w:tc>
        <w:tc>
          <w:tcPr>
            <w:tcW w:type="dxa" w:w="4320"/>
          </w:tcPr>
          <w:p>
            <w:r>
              <w:t>Active or Archived.</w:t>
            </w:r>
          </w:p>
        </w:tc>
      </w:tr>
    </w:tbl>
    <w:p>
      <w:pPr>
        <w:pStyle w:val="Heading1"/>
      </w:pPr>
      <w:r>
        <w:t>8. Resolution Outcomes</w:t>
      </w:r>
    </w:p>
    <w:p>
      <w:r>
        <w:t>• Resolved</w:t>
      </w:r>
    </w:p>
    <w:p>
      <w:r>
        <w:t>• Possible Resolution</w:t>
      </w:r>
    </w:p>
    <w:p>
      <w:r>
        <w:t>• Unresolved</w:t>
      </w:r>
    </w:p>
    <w:p>
      <w:pPr>
        <w:pStyle w:val="Heading1"/>
      </w:pPr>
      <w:r>
        <w:t>9. Business Confidence</w:t>
      </w:r>
    </w:p>
    <w:p>
      <w:r>
        <w:t>Business Confidence is a business classification with values High, Medium and Low. It reflects confidence in the enterprise's interpretation and is independent of the resolution outcome.</w:t>
      </w:r>
    </w:p>
    <w:p>
      <w:pPr>
        <w:pStyle w:val="Heading1"/>
      </w:pPr>
      <w:r>
        <w:t>10. Human Override</w:t>
      </w:r>
    </w:p>
    <w:p>
      <w:r>
        <w:t>Authorized business users may override a semantic interpretation. Overrides never modify existing Semantic Resolution Records; they create a new immutable record while preserving history.</w:t>
      </w:r>
    </w:p>
    <w:p>
      <w:pPr>
        <w:pStyle w:val="Heading1"/>
      </w:pPr>
      <w:r>
        <w:t>11. Enterprise Meaning Evolution</w:t>
      </w:r>
    </w:p>
    <w:p>
      <w:r>
        <w:t>Enterprise meaning may evolve as business policy changes. Evolution is represented through new Semantic Resolution Records while preserving historical interpretations.</w:t>
      </w:r>
    </w:p>
    <w:p>
      <w:pPr>
        <w:pStyle w:val="Heading1"/>
      </w:pPr>
      <w:r>
        <w:t>12. Explainability</w:t>
      </w:r>
    </w:p>
    <w:p>
      <w:r>
        <w:t>Every Semantic Resolution Record shall contain structured reasons and a narrative explanation sufficient for business users to understand why a semantic interpretation was produced.</w:t>
      </w:r>
    </w:p>
    <w:p>
      <w:pPr>
        <w:pStyle w:val="Heading1"/>
      </w:pPr>
      <w:r>
        <w:t>13. Relationship to Other Capabilities</w:t>
      </w:r>
    </w:p>
    <w:p>
      <w:r>
        <w:t>Consumes Enterprise Entity Resolution Records produced by ERM-001.</w:t>
      </w:r>
    </w:p>
    <w:p>
      <w:r>
        <w:t>Produces Semantic Resolution Records consumed by the future Assertion capability.</w:t>
      </w:r>
    </w:p>
    <w:p>
      <w:pPr>
        <w:pStyle w:val="Heading1"/>
      </w:pPr>
      <w:r>
        <w:t>14. Success Criteria</w:t>
      </w:r>
    </w:p>
    <w:p>
      <w:r>
        <w:t>The capability is successful when enterprise meanings are consistently assigned, explainable, policy-driven, historically preserved, and produced without modifying the Canonical Enterprise Ontology.</w:t>
      </w:r>
    </w:p>
    <w:p>
      <w:pPr>
        <w:pStyle w:val="Heading1"/>
      </w:pPr>
      <w:r>
        <w:t>15. Traceability</w:t>
      </w:r>
    </w:p>
    <w:p>
      <w:r>
        <w:t>EAH-001 → Architecture</w:t>
      </w:r>
    </w:p>
    <w:p>
      <w:r>
        <w:t>RFC-010 → Canonical Enterprise Ontology Boundary</w:t>
      </w:r>
    </w:p>
    <w:p>
      <w:r>
        <w:t>CDD-003 Revision 2 → Canonical Enterprise Ontology</w:t>
      </w:r>
    </w:p>
    <w:p>
      <w:r>
        <w:t>ERM-001 v2.1 → Enterprise Entity Resolution</w:t>
      </w:r>
    </w:p>
    <w:p>
      <w:r>
        <w:t>SRM-001 v1.0 → Business authority for CDD-005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