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AEM-001 — Acceptance Evidence Business Specification</w:t>
      </w:r>
    </w:p>
    <w:p>
      <w:pPr>
        <w:jc w:val="center"/>
      </w:pPr>
      <w:r>
        <w:rPr>
          <w:b/>
        </w:rPr>
        <w:t>Version 1.1</w:t>
        <w:br/>
        <w:t>Status: FROZEN</w:t>
        <w:br/>
        <w:t>Release Type: Clarification Release</w:t>
      </w:r>
    </w:p>
    <w:p>
      <w:pPr>
        <w:pStyle w:val="Heading1"/>
      </w:pPr>
      <w:r>
        <w:t>Executive Summary</w:t>
      </w:r>
    </w:p>
    <w:p>
      <w:r>
        <w:t>Acceptance Evidence is a governed, immutable business artifact produced under Governance Authority and consumed by Knowledge.</w:t>
      </w:r>
    </w:p>
    <w:p>
      <w:pPr>
        <w:pStyle w:val="Heading1"/>
      </w:pPr>
      <w:r>
        <w:t>Purpose</w:t>
      </w:r>
    </w:p>
    <w:p>
      <w:r>
        <w:t>Separate governance approval from knowledge evaluation.</w:t>
      </w:r>
    </w:p>
    <w:p>
      <w:pPr>
        <w:pStyle w:val="Heading1"/>
      </w:pPr>
      <w:r>
        <w:t>Ownership</w:t>
      </w:r>
    </w:p>
    <w:p>
      <w:r>
        <w:t>Produced under Governance Authority; Consumed by Knowledge.</w:t>
      </w:r>
    </w:p>
    <w:p>
      <w:pPr>
        <w:pStyle w:val="Heading1"/>
      </w:pPr>
      <w:r>
        <w:t>Business Attributes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4320"/>
          </w:tcPr>
          <w:p>
            <w:r>
              <w:t>Attribute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Evidence Identifier</w:t>
            </w:r>
          </w:p>
        </w:tc>
        <w:tc>
          <w:tcPr>
            <w:tcW w:type="dxa" w:w="4320"/>
          </w:tcPr>
          <w:p>
            <w:r>
              <w:t>Unique immutable identifier</w:t>
            </w:r>
          </w:p>
        </w:tc>
      </w:tr>
      <w:tr>
        <w:tc>
          <w:tcPr>
            <w:tcW w:type="dxa" w:w="4320"/>
          </w:tcPr>
          <w:p>
            <w:r>
              <w:t>Assertion Reference</w:t>
            </w:r>
          </w:p>
        </w:tc>
        <w:tc>
          <w:tcPr>
            <w:tcW w:type="dxa" w:w="4320"/>
          </w:tcPr>
          <w:p>
            <w:r>
              <w:t>Exactly one Assertion</w:t>
            </w:r>
          </w:p>
        </w:tc>
      </w:tr>
      <w:tr>
        <w:tc>
          <w:tcPr>
            <w:tcW w:type="dxa" w:w="4320"/>
          </w:tcPr>
          <w:p>
            <w:r>
              <w:t>Acceptance Authority</w:t>
            </w:r>
          </w:p>
        </w:tc>
        <w:tc>
          <w:tcPr>
            <w:tcW w:type="dxa" w:w="4320"/>
          </w:tcPr>
          <w:p>
            <w:r>
              <w:t>Governance authority</w:t>
            </w:r>
          </w:p>
        </w:tc>
      </w:tr>
      <w:tr>
        <w:tc>
          <w:tcPr>
            <w:tcW w:type="dxa" w:w="4320"/>
          </w:tcPr>
          <w:p>
            <w:r>
              <w:t>Policy Reference</w:t>
            </w:r>
          </w:p>
        </w:tc>
        <w:tc>
          <w:tcPr>
            <w:tcW w:type="dxa" w:w="4320"/>
          </w:tcPr>
          <w:p>
            <w:r>
              <w:t>Policy</w:t>
            </w:r>
          </w:p>
        </w:tc>
      </w:tr>
      <w:tr>
        <w:tc>
          <w:tcPr>
            <w:tcW w:type="dxa" w:w="4320"/>
          </w:tcPr>
          <w:p>
            <w:r>
              <w:t>Policy Version</w:t>
            </w:r>
          </w:p>
        </w:tc>
        <w:tc>
          <w:tcPr>
            <w:tcW w:type="dxa" w:w="4320"/>
          </w:tcPr>
          <w:p>
            <w:r>
              <w:t>Policy version</w:t>
            </w:r>
          </w:p>
        </w:tc>
      </w:tr>
      <w:tr>
        <w:tc>
          <w:tcPr>
            <w:tcW w:type="dxa" w:w="4320"/>
          </w:tcPr>
          <w:p>
            <w:r>
              <w:t>Acceptance Timestamp</w:t>
            </w:r>
          </w:p>
        </w:tc>
        <w:tc>
          <w:tcPr>
            <w:tcW w:type="dxa" w:w="4320"/>
          </w:tcPr>
          <w:p>
            <w:r>
              <w:t>Business timestamp</w:t>
            </w:r>
          </w:p>
        </w:tc>
      </w:tr>
    </w:tbl>
    <w:p>
      <w:pPr>
        <w:pStyle w:val="Heading1"/>
      </w:pPr>
      <w:r>
        <w:t>Validation</w:t>
      </w:r>
    </w:p>
    <w:p>
      <w:r>
        <w:t>• Evidence exists</w:t>
      </w:r>
    </w:p>
    <w:p>
      <w:r>
        <w:t>• References same Assertion</w:t>
      </w:r>
    </w:p>
    <w:p>
      <w:r>
        <w:t>• Authorized governance authority</w:t>
      </w:r>
    </w:p>
    <w:p>
      <w:r>
        <w:t>• Policy and version present</w:t>
      </w:r>
    </w:p>
    <w:p>
      <w:r>
        <w:t>• Immutable</w:t>
      </w:r>
    </w:p>
    <w:p>
      <w:pPr>
        <w:pStyle w:val="Heading1"/>
      </w:pPr>
      <w:r>
        <w:t>Capability Authority Boundary</w:t>
      </w:r>
    </w:p>
    <w:p>
      <w:r>
        <w:t>RFCs govern cross-capability boundaries. A Business Capability Specification governs business semantics only inside its assigned capability. In accordance with RFC-013, Governance Authority produces Acceptance Evidence; Governance Evaluation does not produce it.</w:t>
      </w:r>
    </w:p>
    <w:p>
      <w:pPr>
        <w:pStyle w:val="Heading1"/>
      </w:pPr>
      <w:r>
        <w:t>Traceability</w:t>
      </w:r>
    </w:p>
    <w:p>
      <w:r>
        <w:t>• RFC-013 — Governance Authority and Evaluation Separation v1.0</w:t>
      </w:r>
    </w:p>
    <w:p>
      <w:r>
        <w:t>• AEM-001 v1.1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AEM-001 — Acceptance Evidence Business Specification v1.1</dc:title>
  <dc:subject>Clarification Release — Governance Authority boundary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