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CDD-TEMPLATE v2.1 — Codex Development Document Template</w:t>
      </w:r>
    </w:p>
    <w:p>
      <w:pPr>
        <w:jc w:val="center"/>
      </w:pPr>
      <w:r>
        <w:t>Version 2.1</w:t>
        <w:br/>
        <w:t>Status: FROZEN</w:t>
        <w:br/>
        <w:t>Release Type: Governance Alignment Release</w:t>
        <w:br/>
        <w:t>Supersedes: CDD Template v2.0</w:t>
        <w:br/>
        <w:t>Governing Standard: CDS-001 v1.3</w:t>
      </w:r>
    </w:p>
    <w:p>
      <w:pPr>
        <w:pStyle w:val="Heading1"/>
      </w:pPr>
      <w:r>
        <w:t>1. Purpose</w:t>
      </w:r>
    </w:p>
    <w:p>
      <w:r>
        <w:t>Implementation work order only. This CDD SHALL NOT define or modify business semantics.</w:t>
      </w:r>
    </w:p>
    <w:p>
      <w:pPr>
        <w:pStyle w:val="Heading1"/>
      </w:pPr>
      <w:r>
        <w:t>2. Authority Chain</w:t>
      </w:r>
    </w:p>
    <w:p>
      <w:r>
        <w:t>Resolve current authorities through architecture/INDEX.md. Record the applicable Constitution, EAH, RFCs, CEO, models, EAD-001, TAS-001, CDS-001 v1.3, and assigned BCS.</w:t>
      </w:r>
    </w:p>
    <w:p>
      <w:pPr>
        <w:pStyle w:val="Heading1"/>
      </w:pPr>
      <w:r>
        <w:t>3. Change Log</w:t>
      </w:r>
    </w:p>
    <w:p>
      <w:r>
        <w:t>Document the reason for this CDD or revision and identify every superseded work order.</w:t>
      </w:r>
    </w:p>
    <w:p>
      <w:pPr>
        <w:pStyle w:val="Heading1"/>
      </w:pPr>
      <w:r>
        <w:t>4. Implementation Objective</w:t>
      </w:r>
    </w:p>
    <w:p>
      <w:r>
        <w:t>State one bounded implementation outcome.</w:t>
      </w:r>
    </w:p>
    <w:p>
      <w:pPr>
        <w:pStyle w:val="Heading1"/>
      </w:pPr>
      <w:r>
        <w:t>5. Implementation Scope</w:t>
      </w:r>
    </w:p>
    <w:p>
      <w:r>
        <w:t>List explicit inclusions and exclusions. Everything outside the assigned capability is prohibited.</w:t>
      </w:r>
    </w:p>
    <w:p>
      <w:pPr>
        <w:pStyle w:val="Heading1"/>
        <w:pageBreakBefore/>
      </w:pPr>
      <w:r>
        <w:t>6. Authorization Mode</w:t>
      </w:r>
    </w:p>
    <w:p>
      <w:r>
        <w:t>Retain exactly one authorization form below and delete the other.</w:t>
      </w:r>
    </w:p>
    <w:p>
      <w:pPr>
        <w:pStyle w:val="Heading2"/>
      </w:pPr>
      <w:r>
        <w:t>6A. AUTHORIZED ARTIFACTS — No approved BCS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vAlign w:val="center"/>
          </w:tcPr>
          <w:p>
            <w:r>
              <w:t>Category</w:t>
            </w:r>
          </w:p>
        </w:tc>
        <w:tc>
          <w:tcPr>
            <w:tcW w:type="dxa" w:w="4320"/>
            <w:vAlign w:val="center"/>
          </w:tcPr>
          <w:p>
            <w:r>
              <w:t>Exhaustive allowlist</w:t>
            </w:r>
          </w:p>
        </w:tc>
      </w:tr>
      <w:tr>
        <w:tc>
          <w:tcPr>
            <w:tcW w:type="dxa" w:w="4320"/>
            <w:vAlign w:val="center"/>
          </w:tcPr>
          <w:p>
            <w:r>
              <w:t>Entities</w:t>
            </w:r>
          </w:p>
        </w:tc>
        <w:tc>
          <w:tcPr>
            <w:tcW w:type="dxa" w:w="4320"/>
            <w:vAlign w:val="center"/>
          </w:tcPr>
          <w:p>
            <w:r>
              <w:t>&lt;List, or None&gt;</w:t>
            </w:r>
          </w:p>
        </w:tc>
      </w:tr>
      <w:tr>
        <w:tc>
          <w:tcPr>
            <w:tcW w:type="dxa" w:w="4320"/>
            <w:vAlign w:val="center"/>
          </w:tcPr>
          <w:p>
            <w:r>
              <w:t>Services</w:t>
            </w:r>
          </w:p>
        </w:tc>
        <w:tc>
          <w:tcPr>
            <w:tcW w:type="dxa" w:w="4320"/>
            <w:vAlign w:val="center"/>
          </w:tcPr>
          <w:p>
            <w:r>
              <w:t>&lt;List, or None&gt;</w:t>
            </w:r>
          </w:p>
        </w:tc>
      </w:tr>
      <w:tr>
        <w:tc>
          <w:tcPr>
            <w:tcW w:type="dxa" w:w="4320"/>
            <w:vAlign w:val="center"/>
          </w:tcPr>
          <w:p>
            <w:r>
              <w:t>Value Objects</w:t>
            </w:r>
          </w:p>
        </w:tc>
        <w:tc>
          <w:tcPr>
            <w:tcW w:type="dxa" w:w="4320"/>
            <w:vAlign w:val="center"/>
          </w:tcPr>
          <w:p>
            <w:r>
              <w:t>&lt;List, or None&gt;</w:t>
            </w:r>
          </w:p>
        </w:tc>
      </w:tr>
      <w:tr>
        <w:tc>
          <w:tcPr>
            <w:tcW w:type="dxa" w:w="4320"/>
            <w:vAlign w:val="center"/>
          </w:tcPr>
          <w:p>
            <w:r>
              <w:t>Enums</w:t>
            </w:r>
          </w:p>
        </w:tc>
        <w:tc>
          <w:tcPr>
            <w:tcW w:type="dxa" w:w="4320"/>
            <w:vAlign w:val="center"/>
          </w:tcPr>
          <w:p>
            <w:r>
              <w:t>&lt;List, or None&gt;</w:t>
            </w:r>
          </w:p>
        </w:tc>
      </w:tr>
    </w:tbl>
    <w:p>
      <w:pPr>
        <w:pStyle w:val="Heading2"/>
      </w:pPr>
      <w:r>
        <w:t>6B. AUTHORIZED BUSINESS CAPABILITY — Approved BCS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vAlign w:val="center"/>
          </w:tcPr>
          <w:p>
            <w:r>
              <w:t>Declaration</w:t>
            </w:r>
          </w:p>
        </w:tc>
        <w:tc>
          <w:tcPr>
            <w:tcW w:type="dxa" w:w="4320"/>
            <w:vAlign w:val="center"/>
          </w:tcPr>
          <w:p>
            <w:r>
              <w:t>Value</w:t>
            </w:r>
          </w:p>
        </w:tc>
      </w:tr>
      <w:tr>
        <w:tc>
          <w:tcPr>
            <w:tcW w:type="dxa" w:w="4320"/>
            <w:vAlign w:val="center"/>
          </w:tcPr>
          <w:p>
            <w:r>
              <w:t>Business Capability Specification</w:t>
            </w:r>
          </w:p>
        </w:tc>
        <w:tc>
          <w:tcPr>
            <w:tcW w:type="dxa" w:w="4320"/>
            <w:vAlign w:val="center"/>
          </w:tcPr>
          <w:p>
            <w:r>
              <w:t>&lt;Identifier and current version&gt;</w:t>
            </w:r>
          </w:p>
        </w:tc>
      </w:tr>
      <w:tr>
        <w:tc>
          <w:tcPr>
            <w:tcW w:type="dxa" w:w="4320"/>
            <w:vAlign w:val="center"/>
          </w:tcPr>
          <w:p>
            <w:r>
              <w:t>Business Artifacts</w:t>
            </w:r>
          </w:p>
        </w:tc>
        <w:tc>
          <w:tcPr>
            <w:tcW w:type="dxa" w:w="4320"/>
            <w:vAlign w:val="center"/>
          </w:tcPr>
          <w:p>
            <w:r>
              <w:t>Incorporated by reference from the BCS</w:t>
            </w:r>
          </w:p>
        </w:tc>
      </w:tr>
      <w:tr>
        <w:tc>
          <w:tcPr>
            <w:tcW w:type="dxa" w:w="4320"/>
            <w:vAlign w:val="center"/>
          </w:tcPr>
          <w:p>
            <w:r>
              <w:t>Externally Visible Implementation Contracts</w:t>
            </w:r>
          </w:p>
        </w:tc>
        <w:tc>
          <w:tcPr>
            <w:tcW w:type="dxa" w:w="4320"/>
            <w:vAlign w:val="center"/>
          </w:tcPr>
          <w:p>
            <w:r>
              <w:t>&lt;Exhaustive list, or None&gt;</w:t>
            </w:r>
          </w:p>
        </w:tc>
      </w:tr>
      <w:tr>
        <w:tc>
          <w:tcPr>
            <w:tcW w:type="dxa" w:w="4320"/>
            <w:vAlign w:val="center"/>
          </w:tcPr>
          <w:p>
            <w:r>
              <w:t>Canonical Model Changes</w:t>
            </w:r>
          </w:p>
        </w:tc>
        <w:tc>
          <w:tcPr>
            <w:tcW w:type="dxa" w:w="4320"/>
            <w:vAlign w:val="center"/>
          </w:tcPr>
          <w:p>
            <w:r>
              <w:t>None</w:t>
            </w:r>
          </w:p>
        </w:tc>
      </w:tr>
    </w:tbl>
    <w:p>
      <w:pPr>
        <w:pStyle w:val="Heading1"/>
      </w:pPr>
      <w:r>
        <w:t>7. Engineering Authority</w:t>
      </w:r>
    </w:p>
    <w:p>
      <w:r>
        <w:t>Identify material private implementation choices. Private implementation artifacts do not require exhaustive authorization unless they become externally visible, change business semantics, or cross an architecture boundary.</w:t>
      </w:r>
    </w:p>
    <w:p>
      <w:pPr>
        <w:pStyle w:val="Heading1"/>
      </w:pPr>
      <w:r>
        <w:t>8. Persistence Requirements</w:t>
      </w:r>
    </w:p>
    <w:p>
      <w:r>
        <w:t>Define required repositories, stores, projections, migrations, and transaction behavior. Trace them to the authoritative Physical Model and BCS; do not treat migration scripts as architecture authority.</w:t>
      </w:r>
    </w:p>
    <w:p>
      <w:pPr>
        <w:pStyle w:val="Heading1"/>
      </w:pPr>
      <w:r>
        <w:t>9. Configuration Requirements</w:t>
      </w:r>
    </w:p>
    <w:p>
      <w:r>
        <w:t>Define configuration schema, loading, validation, and authorized policy/configuration inputs without inventing business semantics.</w:t>
      </w:r>
    </w:p>
    <w:p>
      <w:pPr>
        <w:pStyle w:val="Heading1"/>
      </w:pPr>
      <w:r>
        <w:t>10. External Contracts</w:t>
      </w:r>
    </w:p>
    <w:p>
      <w:r>
        <w:t>Specify only contracts explicitly authorized in Section 6. Include compatibility, versioning, validation, and error behavior where applicable.</w:t>
      </w:r>
    </w:p>
    <w:p>
      <w:pPr>
        <w:pStyle w:val="Heading1"/>
      </w:pPr>
      <w:r>
        <w:t>11. Testing</w:t>
      </w:r>
    </w:p>
    <w:p>
      <w:r>
        <w:t>Define unit, integration, repository, configuration, history/currentness, architecture, regression, and contract tests applicable to the implementation.</w:t>
      </w:r>
    </w:p>
    <w:p>
      <w:pPr>
        <w:pStyle w:val="Heading1"/>
      </w:pPr>
      <w:r>
        <w:t>12. Deliverables</w:t>
      </w:r>
    </w:p>
    <w:p>
      <w:r>
        <w:t>List the exact code, migration, configuration, documentation, diagram, traceability, and review artifacts to be produced.</w:t>
      </w:r>
    </w:p>
    <w:p>
      <w:pPr>
        <w:pStyle w:val="Heading1"/>
      </w:pPr>
      <w:r>
        <w:t>13. Enterprise Language Validation</w:t>
      </w:r>
    </w:p>
    <w:p>
      <w:r>
        <w:t>Verify that business-facing names are understandable, match authoritative vocabulary, and do not leak implementation terminology.</w:t>
      </w:r>
    </w:p>
    <w:p>
      <w:pPr>
        <w:pStyle w:val="Heading1"/>
      </w:pPr>
      <w:r>
        <w:t>14. Architecture Drift Check</w:t>
      </w:r>
    </w:p>
    <w:p>
      <w:r>
        <w:t>Verify every CDS-001 v1.3 drift item. If any prohibited deviation exists, STOP and list every deviation.</w:t>
      </w:r>
    </w:p>
    <w:p>
      <w:pPr>
        <w:pStyle w:val="Heading1"/>
      </w:pPr>
      <w:r>
        <w:t>15. Stop Conditions</w:t>
      </w:r>
    </w:p>
    <w:p>
      <w:r>
        <w:t>List missing, ambiguous, superseded, or conflicting authorities that prevent implementation. Do not infer a resolution.</w:t>
      </w:r>
    </w:p>
    <w:p>
      <w:pPr>
        <w:pStyle w:val="Heading1"/>
      </w:pPr>
      <w:r>
        <w:t>16. Startup Principles</w:t>
      </w:r>
    </w:p>
    <w:p>
      <w:r>
        <w:t>Prefer simplicity and working software; defer unauthorized infrastructure and optimization.</w:t>
      </w:r>
    </w:p>
    <w:p>
      <w:pPr>
        <w:pStyle w:val="Heading1"/>
      </w:pPr>
      <w:r>
        <w:t>17. Freeze Checklist</w:t>
      </w:r>
    </w:p>
    <w:p>
      <w:r>
        <w:t>Require completed validation, traceability, tests, review gates, registry alignment, and checksums before merge and freeze.</w:t>
      </w:r>
    </w:p>
    <w:p>
      <w:pPr>
        <w:pStyle w:val="Heading1"/>
      </w:pPr>
      <w:r>
        <w:t>18. Revision History</w:t>
      </w:r>
    </w:p>
    <w:p>
      <w:r>
        <w:t>Record template/CDD version, status, superseded version, and summary.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vAlign w:val="center"/>
          </w:tcPr>
          <w:p>
            <w:r>
              <w:t>Version</w:t>
            </w:r>
          </w:p>
        </w:tc>
        <w:tc>
          <w:tcPr>
            <w:tcW w:type="dxa" w:w="2880"/>
            <w:vAlign w:val="center"/>
          </w:tcPr>
          <w:p>
            <w:r>
              <w:t>Status</w:t>
            </w:r>
          </w:p>
        </w:tc>
        <w:tc>
          <w:tcPr>
            <w:tcW w:type="dxa" w:w="2880"/>
            <w:vAlign w:val="center"/>
          </w:tcPr>
          <w:p>
            <w:r>
              <w:t>Summary</w:t>
            </w:r>
          </w:p>
        </w:tc>
      </w:tr>
      <w:tr>
        <w:tc>
          <w:tcPr>
            <w:tcW w:type="dxa" w:w="2880"/>
            <w:vAlign w:val="center"/>
          </w:tcPr>
          <w:p>
            <w:r>
              <w:t>2.0</w:t>
            </w:r>
          </w:p>
        </w:tc>
        <w:tc>
          <w:tcPr>
            <w:tcW w:type="dxa" w:w="2880"/>
            <w:vAlign w:val="center"/>
          </w:tcPr>
          <w:p>
            <w:r>
              <w:t>Superseded</w:t>
            </w:r>
          </w:p>
        </w:tc>
        <w:tc>
          <w:tcPr>
            <w:tcW w:type="dxa" w:w="2880"/>
            <w:vAlign w:val="center"/>
          </w:tcPr>
          <w:p>
            <w:r>
              <w:t>Prior frozen CDD template</w:t>
            </w:r>
          </w:p>
        </w:tc>
      </w:tr>
      <w:tr>
        <w:tc>
          <w:tcPr>
            <w:tcW w:type="dxa" w:w="2880"/>
            <w:vAlign w:val="center"/>
          </w:tcPr>
          <w:p>
            <w:r>
              <w:t>2.1</w:t>
            </w:r>
          </w:p>
        </w:tc>
        <w:tc>
          <w:tcPr>
            <w:tcW w:type="dxa" w:w="2880"/>
            <w:vAlign w:val="center"/>
          </w:tcPr>
          <w:p>
            <w:r>
              <w:t>Frozen</w:t>
            </w:r>
          </w:p>
        </w:tc>
        <w:tc>
          <w:tcPr>
            <w:tcW w:type="dxa" w:w="2880"/>
            <w:vAlign w:val="center"/>
          </w:tcPr>
          <w:p>
            <w:r>
              <w:t>Aligned authorization forms, external contracts, persistence authority, stop conditions, and freeze validation with CDS-001 v1.3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